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F665" w14:textId="22441E5E" w:rsidR="00C33121" w:rsidRPr="0043428E" w:rsidRDefault="00046FBD" w:rsidP="00C33121">
      <w:pPr>
        <w:jc w:val="center"/>
        <w:rPr>
          <w:rFonts w:ascii="Calibri" w:hAnsi="Calibri" w:cs="Calibri"/>
          <w:b/>
          <w:bCs/>
          <w:sz w:val="20"/>
          <w:szCs w:val="20"/>
        </w:rPr>
      </w:pPr>
      <w:r w:rsidRPr="0043428E">
        <w:rPr>
          <w:rFonts w:ascii="Calibri" w:hAnsi="Calibri" w:cs="Calibri"/>
          <w:noProof/>
          <w:sz w:val="20"/>
          <w:szCs w:val="20"/>
          <w:u w:val="single"/>
        </w:rPr>
        <w:drawing>
          <wp:inline distT="0" distB="0" distL="0" distR="0" wp14:anchorId="2A4DBD1D" wp14:editId="035CC786">
            <wp:extent cx="3903935" cy="1200150"/>
            <wp:effectExtent l="0" t="0" r="1905" b="0"/>
            <wp:docPr id="1413540363" name="Picture 1" descr="GIM 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 IDA"/>
                    <pic:cNvPicPr>
                      <a:picLocks noChangeAspect="1" noChangeArrowheads="1"/>
                    </pic:cNvPicPr>
                  </pic:nvPicPr>
                  <pic:blipFill rotWithShape="1">
                    <a:blip r:embed="rId7">
                      <a:extLst>
                        <a:ext uri="{28A0092B-C50C-407E-A947-70E740481C1C}">
                          <a14:useLocalDpi xmlns:a14="http://schemas.microsoft.com/office/drawing/2010/main" val="0"/>
                        </a:ext>
                      </a:extLst>
                    </a:blip>
                    <a:srcRect l="2105" t="4625" r="3833" b="9151"/>
                    <a:stretch/>
                  </pic:blipFill>
                  <pic:spPr bwMode="auto">
                    <a:xfrm>
                      <a:off x="0" y="0"/>
                      <a:ext cx="3994118" cy="1227874"/>
                    </a:xfrm>
                    <a:prstGeom prst="rect">
                      <a:avLst/>
                    </a:prstGeom>
                    <a:noFill/>
                    <a:ln>
                      <a:noFill/>
                    </a:ln>
                    <a:extLst>
                      <a:ext uri="{53640926-AAD7-44D8-BBD7-CCE9431645EC}">
                        <a14:shadowObscured xmlns:a14="http://schemas.microsoft.com/office/drawing/2010/main"/>
                      </a:ext>
                    </a:extLst>
                  </pic:spPr>
                </pic:pic>
              </a:graphicData>
            </a:graphic>
          </wp:inline>
        </w:drawing>
      </w:r>
    </w:p>
    <w:p w14:paraId="78E813F0" w14:textId="7ED75300" w:rsidR="00C33121" w:rsidRPr="00A71482" w:rsidRDefault="00C33121" w:rsidP="00C33121">
      <w:pPr>
        <w:jc w:val="center"/>
        <w:rPr>
          <w:rFonts w:ascii="Calibri" w:hAnsi="Calibri" w:cs="Calibri"/>
          <w:b/>
          <w:bCs/>
          <w:u w:val="single"/>
        </w:rPr>
      </w:pPr>
      <w:r w:rsidRPr="00A71482">
        <w:rPr>
          <w:rFonts w:ascii="Calibri" w:hAnsi="Calibri" w:cs="Calibri"/>
          <w:b/>
          <w:bCs/>
          <w:u w:val="single"/>
        </w:rPr>
        <w:t>Job Description</w:t>
      </w:r>
    </w:p>
    <w:p w14:paraId="551E1FF3" w14:textId="3C175FA8" w:rsidR="00C33121" w:rsidRPr="0043428E" w:rsidRDefault="00C33121" w:rsidP="00C33121">
      <w:pPr>
        <w:rPr>
          <w:rFonts w:ascii="Calibri" w:hAnsi="Calibri" w:cs="Calibri"/>
          <w:b/>
          <w:bCs/>
          <w:sz w:val="20"/>
          <w:szCs w:val="20"/>
        </w:rPr>
      </w:pPr>
      <w:r w:rsidRPr="0043428E">
        <w:rPr>
          <w:rFonts w:ascii="Calibri" w:hAnsi="Calibri" w:cs="Calibri"/>
          <w:b/>
          <w:bCs/>
          <w:sz w:val="20"/>
          <w:szCs w:val="20"/>
        </w:rPr>
        <w:t>Ref:</w:t>
      </w:r>
      <w:r w:rsidR="000F3B08" w:rsidRPr="0043428E">
        <w:rPr>
          <w:rFonts w:ascii="Calibri" w:hAnsi="Calibri" w:cs="Calibri"/>
          <w:b/>
          <w:bCs/>
          <w:sz w:val="20"/>
          <w:szCs w:val="20"/>
        </w:rPr>
        <w:t xml:space="preserve"> </w:t>
      </w:r>
      <w:r w:rsidRPr="0043428E">
        <w:rPr>
          <w:rFonts w:ascii="Calibri" w:hAnsi="Calibri" w:cs="Calibri"/>
          <w:b/>
          <w:bCs/>
          <w:sz w:val="20"/>
          <w:szCs w:val="20"/>
        </w:rPr>
        <w:t>GIM/HR/JD/0</w:t>
      </w:r>
      <w:r w:rsidR="00E8288B" w:rsidRPr="0043428E">
        <w:rPr>
          <w:rFonts w:ascii="Calibri" w:hAnsi="Calibri" w:cs="Calibri"/>
          <w:b/>
          <w:bCs/>
          <w:sz w:val="20"/>
          <w:szCs w:val="20"/>
        </w:rPr>
        <w:t>12</w:t>
      </w:r>
      <w:r w:rsidRPr="0043428E">
        <w:rPr>
          <w:rFonts w:ascii="Calibri" w:hAnsi="Calibri" w:cs="Calibri"/>
          <w:b/>
          <w:bCs/>
          <w:sz w:val="20"/>
          <w:szCs w:val="20"/>
        </w:rPr>
        <w:t>/2025</w:t>
      </w:r>
      <w:r w:rsidRPr="0043428E">
        <w:rPr>
          <w:rFonts w:ascii="Calibri" w:hAnsi="Calibri" w:cs="Calibri"/>
          <w:b/>
          <w:bCs/>
          <w:sz w:val="20"/>
          <w:szCs w:val="20"/>
        </w:rPr>
        <w:tab/>
      </w:r>
      <w:r w:rsidRPr="0043428E">
        <w:rPr>
          <w:rFonts w:ascii="Calibri" w:hAnsi="Calibri" w:cs="Calibri"/>
          <w:b/>
          <w:bCs/>
          <w:sz w:val="20"/>
          <w:szCs w:val="20"/>
        </w:rPr>
        <w:tab/>
      </w:r>
      <w:r w:rsidRPr="0043428E">
        <w:rPr>
          <w:rFonts w:ascii="Calibri" w:hAnsi="Calibri" w:cs="Calibri"/>
          <w:b/>
          <w:bCs/>
          <w:sz w:val="20"/>
          <w:szCs w:val="20"/>
        </w:rPr>
        <w:tab/>
      </w:r>
      <w:r w:rsidRPr="0043428E">
        <w:rPr>
          <w:rFonts w:ascii="Calibri" w:hAnsi="Calibri" w:cs="Calibri"/>
          <w:b/>
          <w:bCs/>
          <w:sz w:val="20"/>
          <w:szCs w:val="20"/>
        </w:rPr>
        <w:tab/>
      </w:r>
      <w:r w:rsidRPr="0043428E">
        <w:rPr>
          <w:rFonts w:ascii="Calibri" w:hAnsi="Calibri" w:cs="Calibri"/>
          <w:b/>
          <w:bCs/>
          <w:sz w:val="20"/>
          <w:szCs w:val="20"/>
        </w:rPr>
        <w:tab/>
      </w:r>
      <w:r w:rsidRPr="0043428E">
        <w:rPr>
          <w:rFonts w:ascii="Calibri" w:hAnsi="Calibri" w:cs="Calibri"/>
          <w:b/>
          <w:bCs/>
          <w:sz w:val="20"/>
          <w:szCs w:val="20"/>
        </w:rPr>
        <w:tab/>
      </w:r>
      <w:r w:rsidR="00E8288B" w:rsidRPr="0043428E">
        <w:rPr>
          <w:rFonts w:ascii="Calibri" w:hAnsi="Calibri" w:cs="Calibri"/>
          <w:b/>
          <w:bCs/>
          <w:sz w:val="20"/>
          <w:szCs w:val="20"/>
        </w:rPr>
        <w:t xml:space="preserve">       </w:t>
      </w:r>
      <w:r w:rsidRPr="0043428E">
        <w:rPr>
          <w:rFonts w:ascii="Calibri" w:hAnsi="Calibri" w:cs="Calibri"/>
          <w:b/>
          <w:bCs/>
          <w:sz w:val="20"/>
          <w:szCs w:val="20"/>
        </w:rPr>
        <w:t>Date:</w:t>
      </w:r>
      <w:r w:rsidR="000A600F" w:rsidRPr="0043428E">
        <w:rPr>
          <w:rFonts w:ascii="Calibri" w:hAnsi="Calibri" w:cs="Calibri"/>
          <w:b/>
          <w:bCs/>
          <w:sz w:val="20"/>
          <w:szCs w:val="20"/>
        </w:rPr>
        <w:t xml:space="preserve"> </w:t>
      </w:r>
      <w:r w:rsidR="00011D78" w:rsidRPr="0043428E">
        <w:rPr>
          <w:rFonts w:ascii="Calibri" w:hAnsi="Calibri" w:cs="Calibri"/>
          <w:b/>
          <w:bCs/>
          <w:sz w:val="20"/>
          <w:szCs w:val="20"/>
        </w:rPr>
        <w:t>05</w:t>
      </w:r>
      <w:r w:rsidR="00011D78" w:rsidRPr="0043428E">
        <w:rPr>
          <w:rFonts w:ascii="Calibri" w:hAnsi="Calibri" w:cs="Calibri"/>
          <w:b/>
          <w:bCs/>
          <w:sz w:val="20"/>
          <w:szCs w:val="20"/>
          <w:vertAlign w:val="superscript"/>
        </w:rPr>
        <w:t>th</w:t>
      </w:r>
      <w:r w:rsidR="00011D78" w:rsidRPr="0043428E">
        <w:rPr>
          <w:rFonts w:ascii="Calibri" w:hAnsi="Calibri" w:cs="Calibri"/>
          <w:b/>
          <w:bCs/>
          <w:sz w:val="20"/>
          <w:szCs w:val="20"/>
        </w:rPr>
        <w:t xml:space="preserve"> </w:t>
      </w:r>
      <w:r w:rsidR="00E8288B" w:rsidRPr="0043428E">
        <w:rPr>
          <w:rFonts w:ascii="Calibri" w:hAnsi="Calibri" w:cs="Calibri"/>
          <w:b/>
          <w:bCs/>
          <w:sz w:val="20"/>
          <w:szCs w:val="20"/>
        </w:rPr>
        <w:t>June</w:t>
      </w:r>
      <w:r w:rsidR="00B071E1" w:rsidRPr="0043428E">
        <w:rPr>
          <w:rFonts w:ascii="Calibri" w:hAnsi="Calibri" w:cs="Calibri"/>
          <w:b/>
          <w:bCs/>
          <w:sz w:val="20"/>
          <w:szCs w:val="20"/>
        </w:rPr>
        <w:t xml:space="preserve"> 2025</w:t>
      </w:r>
    </w:p>
    <w:tbl>
      <w:tblPr>
        <w:tblStyle w:val="TableGrid"/>
        <w:tblW w:w="9067" w:type="dxa"/>
        <w:tblLook w:val="04A0" w:firstRow="1" w:lastRow="0" w:firstColumn="1" w:lastColumn="0" w:noHBand="0" w:noVBand="1"/>
      </w:tblPr>
      <w:tblGrid>
        <w:gridCol w:w="1415"/>
        <w:gridCol w:w="7652"/>
      </w:tblGrid>
      <w:tr w:rsidR="0074650E" w:rsidRPr="0043428E" w14:paraId="2ADA61E2" w14:textId="77777777" w:rsidTr="0043428E">
        <w:tc>
          <w:tcPr>
            <w:tcW w:w="0" w:type="auto"/>
          </w:tcPr>
          <w:p w14:paraId="64FE277C" w14:textId="77777777" w:rsidR="0074650E" w:rsidRPr="0043428E" w:rsidRDefault="0074650E" w:rsidP="00003A4B">
            <w:pPr>
              <w:rPr>
                <w:rFonts w:ascii="Calibri" w:hAnsi="Calibri" w:cs="Calibri"/>
                <w:b/>
                <w:bCs/>
                <w:sz w:val="20"/>
                <w:szCs w:val="20"/>
              </w:rPr>
            </w:pPr>
            <w:r w:rsidRPr="0043428E">
              <w:rPr>
                <w:rFonts w:ascii="Calibri" w:hAnsi="Calibri" w:cs="Calibri"/>
                <w:b/>
                <w:bCs/>
                <w:sz w:val="20"/>
                <w:szCs w:val="20"/>
              </w:rPr>
              <w:t>Designation</w:t>
            </w:r>
          </w:p>
        </w:tc>
        <w:tc>
          <w:tcPr>
            <w:tcW w:w="7652" w:type="dxa"/>
          </w:tcPr>
          <w:p w14:paraId="053DB1CB" w14:textId="0A27FDB6" w:rsidR="0074650E" w:rsidRPr="0043428E" w:rsidRDefault="00DB5480" w:rsidP="00003A4B">
            <w:pPr>
              <w:jc w:val="both"/>
              <w:rPr>
                <w:rFonts w:ascii="Calibri" w:hAnsi="Calibri" w:cs="Calibri"/>
                <w:sz w:val="20"/>
                <w:szCs w:val="20"/>
              </w:rPr>
            </w:pPr>
            <w:r w:rsidRPr="0043428E">
              <w:rPr>
                <w:rFonts w:ascii="Calibri" w:hAnsi="Calibri" w:cs="Calibri"/>
                <w:sz w:val="20"/>
                <w:szCs w:val="20"/>
              </w:rPr>
              <w:t>Manager</w:t>
            </w:r>
            <w:r w:rsidR="0074650E" w:rsidRPr="0043428E">
              <w:rPr>
                <w:rFonts w:ascii="Calibri" w:hAnsi="Calibri" w:cs="Calibri"/>
                <w:sz w:val="20"/>
                <w:szCs w:val="20"/>
              </w:rPr>
              <w:t xml:space="preserve"> </w:t>
            </w:r>
          </w:p>
        </w:tc>
      </w:tr>
      <w:tr w:rsidR="00C33121" w:rsidRPr="0043428E" w14:paraId="48A0A8B3" w14:textId="77777777" w:rsidTr="0043428E">
        <w:tc>
          <w:tcPr>
            <w:tcW w:w="0" w:type="auto"/>
          </w:tcPr>
          <w:p w14:paraId="2C54B7F8" w14:textId="11AA03A2" w:rsidR="00C33121" w:rsidRPr="0043428E" w:rsidRDefault="00C33121" w:rsidP="00C33121">
            <w:pPr>
              <w:rPr>
                <w:rFonts w:ascii="Calibri" w:hAnsi="Calibri" w:cs="Calibri"/>
                <w:b/>
                <w:bCs/>
                <w:sz w:val="20"/>
                <w:szCs w:val="20"/>
              </w:rPr>
            </w:pPr>
            <w:r w:rsidRPr="0043428E">
              <w:rPr>
                <w:rFonts w:ascii="Calibri" w:hAnsi="Calibri" w:cs="Calibri"/>
                <w:b/>
                <w:bCs/>
                <w:sz w:val="20"/>
                <w:szCs w:val="20"/>
              </w:rPr>
              <w:t>Position Cadre</w:t>
            </w:r>
          </w:p>
        </w:tc>
        <w:tc>
          <w:tcPr>
            <w:tcW w:w="7652" w:type="dxa"/>
          </w:tcPr>
          <w:p w14:paraId="49226C47" w14:textId="61B6412D" w:rsidR="00C33121" w:rsidRPr="0043428E" w:rsidRDefault="00B071E1" w:rsidP="0022031E">
            <w:pPr>
              <w:jc w:val="both"/>
              <w:rPr>
                <w:rFonts w:ascii="Calibri" w:hAnsi="Calibri" w:cs="Calibri"/>
                <w:sz w:val="20"/>
                <w:szCs w:val="20"/>
              </w:rPr>
            </w:pPr>
            <w:r w:rsidRPr="0043428E">
              <w:rPr>
                <w:rFonts w:ascii="Calibri" w:hAnsi="Calibri" w:cs="Calibri"/>
                <w:sz w:val="20"/>
                <w:szCs w:val="20"/>
              </w:rPr>
              <w:t>Human Resources</w:t>
            </w:r>
          </w:p>
        </w:tc>
      </w:tr>
      <w:tr w:rsidR="00C33121" w:rsidRPr="0043428E" w14:paraId="3B3131B3" w14:textId="77777777" w:rsidTr="0043428E">
        <w:tc>
          <w:tcPr>
            <w:tcW w:w="0" w:type="auto"/>
          </w:tcPr>
          <w:p w14:paraId="717DE88F" w14:textId="067D72E6" w:rsidR="00C33121" w:rsidRPr="0043428E" w:rsidRDefault="00C33121" w:rsidP="00C33121">
            <w:pPr>
              <w:rPr>
                <w:rFonts w:ascii="Calibri" w:hAnsi="Calibri" w:cs="Calibri"/>
                <w:b/>
                <w:bCs/>
                <w:sz w:val="20"/>
                <w:szCs w:val="20"/>
              </w:rPr>
            </w:pPr>
            <w:r w:rsidRPr="0043428E">
              <w:rPr>
                <w:rFonts w:ascii="Calibri" w:hAnsi="Calibri" w:cs="Calibri"/>
                <w:b/>
                <w:bCs/>
                <w:sz w:val="20"/>
                <w:szCs w:val="20"/>
              </w:rPr>
              <w:t>Reporting to</w:t>
            </w:r>
          </w:p>
        </w:tc>
        <w:tc>
          <w:tcPr>
            <w:tcW w:w="7652" w:type="dxa"/>
          </w:tcPr>
          <w:p w14:paraId="064FB721" w14:textId="15EBAA5E" w:rsidR="00C33121" w:rsidRPr="0043428E" w:rsidRDefault="00DB5480" w:rsidP="0022031E">
            <w:pPr>
              <w:jc w:val="both"/>
              <w:rPr>
                <w:rFonts w:ascii="Calibri" w:hAnsi="Calibri" w:cs="Calibri"/>
                <w:sz w:val="20"/>
                <w:szCs w:val="20"/>
              </w:rPr>
            </w:pPr>
            <w:r w:rsidRPr="0043428E">
              <w:rPr>
                <w:rFonts w:ascii="Calibri" w:hAnsi="Calibri" w:cs="Calibri"/>
                <w:sz w:val="20"/>
                <w:szCs w:val="20"/>
              </w:rPr>
              <w:t>Registrar</w:t>
            </w:r>
          </w:p>
        </w:tc>
      </w:tr>
    </w:tbl>
    <w:p w14:paraId="09CB3F60" w14:textId="77777777" w:rsidR="00046FBD" w:rsidRPr="0043428E" w:rsidRDefault="00046FBD" w:rsidP="00C33121">
      <w:pPr>
        <w:jc w:val="both"/>
        <w:rPr>
          <w:rFonts w:ascii="Calibri" w:hAnsi="Calibri" w:cs="Calibri"/>
          <w:sz w:val="20"/>
          <w:szCs w:val="20"/>
        </w:rPr>
      </w:pPr>
    </w:p>
    <w:p w14:paraId="31F4F9B8" w14:textId="7A5F189D" w:rsidR="00217922" w:rsidRPr="0043428E" w:rsidRDefault="0043428E" w:rsidP="00217922">
      <w:pPr>
        <w:jc w:val="both"/>
        <w:rPr>
          <w:rFonts w:ascii="Calibri" w:hAnsi="Calibri" w:cs="Calibri"/>
          <w:sz w:val="20"/>
          <w:szCs w:val="20"/>
        </w:rPr>
      </w:pPr>
      <w:r>
        <w:rPr>
          <w:rFonts w:ascii="Calibri" w:hAnsi="Calibri" w:cs="Calibri"/>
          <w:sz w:val="20"/>
          <w:szCs w:val="20"/>
        </w:rPr>
        <w:t xml:space="preserve">About the </w:t>
      </w:r>
      <w:proofErr w:type="gramStart"/>
      <w:r>
        <w:rPr>
          <w:rFonts w:ascii="Calibri" w:hAnsi="Calibri" w:cs="Calibri"/>
          <w:sz w:val="20"/>
          <w:szCs w:val="20"/>
        </w:rPr>
        <w:t>Role :</w:t>
      </w:r>
      <w:proofErr w:type="gramEnd"/>
      <w:r>
        <w:rPr>
          <w:rFonts w:ascii="Calibri" w:hAnsi="Calibri" w:cs="Calibri"/>
          <w:sz w:val="20"/>
          <w:szCs w:val="20"/>
        </w:rPr>
        <w:t xml:space="preserve"> </w:t>
      </w:r>
      <w:r w:rsidR="00217922" w:rsidRPr="0043428E">
        <w:rPr>
          <w:rFonts w:ascii="Calibri" w:hAnsi="Calibri" w:cs="Calibri"/>
          <w:sz w:val="20"/>
          <w:szCs w:val="20"/>
        </w:rPr>
        <w:t xml:space="preserve">The </w:t>
      </w:r>
      <w:r w:rsidR="00D265A5" w:rsidRPr="0043428E">
        <w:rPr>
          <w:rFonts w:ascii="Calibri" w:hAnsi="Calibri" w:cs="Calibri"/>
          <w:b/>
          <w:bCs/>
          <w:sz w:val="20"/>
          <w:szCs w:val="20"/>
        </w:rPr>
        <w:t>Manager-HR</w:t>
      </w:r>
      <w:r w:rsidR="00217922" w:rsidRPr="0043428E">
        <w:rPr>
          <w:rFonts w:ascii="Calibri" w:hAnsi="Calibri" w:cs="Calibri"/>
          <w:sz w:val="20"/>
          <w:szCs w:val="20"/>
        </w:rPr>
        <w:t xml:space="preserve"> at Goa Institute of Management (GIM) will play a critical role in driving efficient, transparent, and </w:t>
      </w:r>
      <w:r w:rsidR="008450DC" w:rsidRPr="0043428E">
        <w:rPr>
          <w:rFonts w:ascii="Calibri" w:hAnsi="Calibri" w:cs="Calibri"/>
          <w:sz w:val="20"/>
          <w:szCs w:val="20"/>
        </w:rPr>
        <w:t>people centric</w:t>
      </w:r>
      <w:r w:rsidR="00217922" w:rsidRPr="0043428E">
        <w:rPr>
          <w:rFonts w:ascii="Calibri" w:hAnsi="Calibri" w:cs="Calibri"/>
          <w:sz w:val="20"/>
          <w:szCs w:val="20"/>
        </w:rPr>
        <w:t xml:space="preserve"> HR practices that align with the institute’s </w:t>
      </w:r>
      <w:r w:rsidR="00615439" w:rsidRPr="0043428E">
        <w:rPr>
          <w:rFonts w:ascii="Calibri" w:hAnsi="Calibri" w:cs="Calibri"/>
          <w:sz w:val="20"/>
          <w:szCs w:val="20"/>
        </w:rPr>
        <w:t>Vision, Mission and the S</w:t>
      </w:r>
      <w:r w:rsidR="00217922" w:rsidRPr="0043428E">
        <w:rPr>
          <w:rFonts w:ascii="Calibri" w:hAnsi="Calibri" w:cs="Calibri"/>
          <w:sz w:val="20"/>
          <w:szCs w:val="20"/>
        </w:rPr>
        <w:t>trategic goals. The incumbent will be responsible for managing core HR operations across faculty, staff, and outsourced personnel, ensuring compliance with institutional policies, statutory regulations, and best practices in human resource management.</w:t>
      </w:r>
      <w:r>
        <w:rPr>
          <w:rFonts w:ascii="Calibri" w:hAnsi="Calibri" w:cs="Calibri"/>
          <w:sz w:val="20"/>
          <w:szCs w:val="20"/>
        </w:rPr>
        <w:t xml:space="preserve">  </w:t>
      </w:r>
      <w:r w:rsidR="00217922" w:rsidRPr="0043428E">
        <w:rPr>
          <w:rFonts w:ascii="Calibri" w:hAnsi="Calibri" w:cs="Calibri"/>
          <w:sz w:val="20"/>
          <w:szCs w:val="20"/>
        </w:rPr>
        <w:t xml:space="preserve">This role demands a deep understanding of HR systems and processes, including recruitment and onboarding, payroll and benefits administration, performance management, employee relations, contract management for outsourced staff, and compliance with </w:t>
      </w:r>
      <w:r w:rsidR="00615439" w:rsidRPr="0043428E">
        <w:rPr>
          <w:rFonts w:ascii="Calibri" w:hAnsi="Calibri" w:cs="Calibri"/>
          <w:sz w:val="20"/>
          <w:szCs w:val="20"/>
        </w:rPr>
        <w:t>labour</w:t>
      </w:r>
      <w:r w:rsidR="00217922" w:rsidRPr="0043428E">
        <w:rPr>
          <w:rFonts w:ascii="Calibri" w:hAnsi="Calibri" w:cs="Calibri"/>
          <w:sz w:val="20"/>
          <w:szCs w:val="20"/>
        </w:rPr>
        <w:t xml:space="preserve"> laws. The HR Manager will also be instrumental in developing and maintaining HR policies, fostering a culture of accountability, inclusivity, and professional growth.</w:t>
      </w:r>
      <w:r>
        <w:rPr>
          <w:rFonts w:ascii="Calibri" w:hAnsi="Calibri" w:cs="Calibri"/>
          <w:sz w:val="20"/>
          <w:szCs w:val="20"/>
        </w:rPr>
        <w:t xml:space="preserve"> </w:t>
      </w:r>
      <w:r w:rsidR="00217922" w:rsidRPr="0043428E">
        <w:rPr>
          <w:rFonts w:ascii="Calibri" w:hAnsi="Calibri" w:cs="Calibri"/>
          <w:sz w:val="20"/>
          <w:szCs w:val="20"/>
        </w:rPr>
        <w:t xml:space="preserve">Working closely with academic and administrative leadership, the HR Manager will contribute to building a supportive and </w:t>
      </w:r>
      <w:r w:rsidR="008450DC" w:rsidRPr="0043428E">
        <w:rPr>
          <w:rFonts w:ascii="Calibri" w:hAnsi="Calibri" w:cs="Calibri"/>
          <w:sz w:val="20"/>
          <w:szCs w:val="20"/>
        </w:rPr>
        <w:t>high performing</w:t>
      </w:r>
      <w:r w:rsidR="00217922" w:rsidRPr="0043428E">
        <w:rPr>
          <w:rFonts w:ascii="Calibri" w:hAnsi="Calibri" w:cs="Calibri"/>
          <w:sz w:val="20"/>
          <w:szCs w:val="20"/>
        </w:rPr>
        <w:t xml:space="preserve"> work environment that attracts, retains, and develops talent across all levels of the institute.</w:t>
      </w:r>
    </w:p>
    <w:p w14:paraId="6ED08463" w14:textId="77777777" w:rsidR="00046FBD" w:rsidRPr="0043428E" w:rsidRDefault="00046FBD" w:rsidP="00046FBD">
      <w:pPr>
        <w:spacing w:after="0" w:line="240" w:lineRule="auto"/>
        <w:jc w:val="both"/>
        <w:rPr>
          <w:rFonts w:ascii="Calibri" w:hAnsi="Calibri" w:cs="Calibri"/>
          <w:sz w:val="20"/>
          <w:szCs w:val="20"/>
        </w:rPr>
      </w:pPr>
    </w:p>
    <w:p w14:paraId="1006CE33" w14:textId="0EC19BED" w:rsidR="00C33121" w:rsidRPr="0043428E" w:rsidRDefault="00C33121" w:rsidP="00C33121">
      <w:pPr>
        <w:rPr>
          <w:rFonts w:ascii="Calibri" w:hAnsi="Calibri" w:cs="Calibri"/>
          <w:b/>
          <w:bCs/>
          <w:sz w:val="20"/>
          <w:szCs w:val="20"/>
        </w:rPr>
      </w:pPr>
      <w:r w:rsidRPr="0043428E">
        <w:rPr>
          <w:rFonts w:ascii="Calibri" w:hAnsi="Calibri" w:cs="Calibri"/>
          <w:b/>
          <w:bCs/>
          <w:sz w:val="20"/>
          <w:szCs w:val="20"/>
        </w:rPr>
        <w:t xml:space="preserve">Key Responsibility Areas (KRAs) </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295"/>
        <w:gridCol w:w="7178"/>
      </w:tblGrid>
      <w:tr w:rsidR="000556DF" w:rsidRPr="0043428E" w14:paraId="03E43BF8" w14:textId="77777777" w:rsidTr="00A7148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3" w:type="dxa"/>
            <w:tcBorders>
              <w:bottom w:val="none" w:sz="0" w:space="0" w:color="auto"/>
            </w:tcBorders>
            <w:hideMark/>
          </w:tcPr>
          <w:p w14:paraId="364FA4BC" w14:textId="77777777" w:rsidR="000556DF" w:rsidRPr="000556DF" w:rsidRDefault="000556DF"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S. No.</w:t>
            </w:r>
          </w:p>
        </w:tc>
        <w:tc>
          <w:tcPr>
            <w:tcW w:w="1295" w:type="dxa"/>
            <w:tcBorders>
              <w:bottom w:val="none" w:sz="0" w:space="0" w:color="auto"/>
            </w:tcBorders>
            <w:hideMark/>
          </w:tcPr>
          <w:p w14:paraId="286F9C76" w14:textId="77777777" w:rsidR="000556DF" w:rsidRPr="000556DF" w:rsidRDefault="000556DF" w:rsidP="000556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Key Result Area (KRA)</w:t>
            </w:r>
          </w:p>
        </w:tc>
        <w:tc>
          <w:tcPr>
            <w:tcW w:w="7178" w:type="dxa"/>
            <w:tcBorders>
              <w:bottom w:val="none" w:sz="0" w:space="0" w:color="auto"/>
            </w:tcBorders>
            <w:hideMark/>
          </w:tcPr>
          <w:p w14:paraId="5CD21E60" w14:textId="77777777" w:rsidR="000556DF" w:rsidRPr="000556DF" w:rsidRDefault="000556DF" w:rsidP="000556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Key Activities</w:t>
            </w:r>
          </w:p>
        </w:tc>
      </w:tr>
      <w:tr w:rsidR="006F43DF" w:rsidRPr="0043428E" w14:paraId="2BA7CA87" w14:textId="77777777" w:rsidTr="00A71482">
        <w:trPr>
          <w:trHeight w:val="983"/>
        </w:trPr>
        <w:tc>
          <w:tcPr>
            <w:cnfStyle w:val="001000000000" w:firstRow="0" w:lastRow="0" w:firstColumn="1" w:lastColumn="0" w:oddVBand="0" w:evenVBand="0" w:oddHBand="0" w:evenHBand="0" w:firstRowFirstColumn="0" w:firstRowLastColumn="0" w:lastRowFirstColumn="0" w:lastRowLastColumn="0"/>
            <w:tcW w:w="543" w:type="dxa"/>
            <w:hideMark/>
          </w:tcPr>
          <w:p w14:paraId="65DD4C91" w14:textId="77777777" w:rsidR="006F43DF" w:rsidRPr="000556DF" w:rsidRDefault="006F43DF"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1</w:t>
            </w:r>
          </w:p>
        </w:tc>
        <w:tc>
          <w:tcPr>
            <w:tcW w:w="1295" w:type="dxa"/>
            <w:hideMark/>
          </w:tcPr>
          <w:p w14:paraId="75CF4EB5" w14:textId="77777777" w:rsidR="006F43DF" w:rsidRPr="000556DF" w:rsidRDefault="006F43DF"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Policy Formulation and Regulatory Compliance</w:t>
            </w:r>
          </w:p>
        </w:tc>
        <w:tc>
          <w:tcPr>
            <w:tcW w:w="7178" w:type="dxa"/>
            <w:hideMark/>
          </w:tcPr>
          <w:p w14:paraId="7676E9D7" w14:textId="2144AE30" w:rsidR="00E837B2" w:rsidRPr="0043428E" w:rsidRDefault="00E837B2" w:rsidP="00E837B2">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 xml:space="preserve">Formulate, revise, and </w:t>
            </w:r>
            <w:r w:rsidR="002E5F98" w:rsidRPr="0043428E">
              <w:rPr>
                <w:rFonts w:ascii="Calibri" w:eastAsia="Times New Roman" w:hAnsi="Calibri" w:cs="Calibri"/>
                <w:color w:val="000000"/>
                <w:kern w:val="0"/>
                <w:sz w:val="20"/>
                <w:szCs w:val="20"/>
                <w:lang w:eastAsia="en-IN"/>
                <w14:ligatures w14:val="none"/>
              </w:rPr>
              <w:t>organise</w:t>
            </w:r>
            <w:r w:rsidRPr="0043428E">
              <w:rPr>
                <w:rFonts w:ascii="Calibri" w:eastAsia="Times New Roman" w:hAnsi="Calibri" w:cs="Calibri"/>
                <w:color w:val="000000"/>
                <w:kern w:val="0"/>
                <w:sz w:val="20"/>
                <w:szCs w:val="20"/>
                <w:lang w:eastAsia="en-IN"/>
                <w14:ligatures w14:val="none"/>
              </w:rPr>
              <w:t xml:space="preserve"> Human Resource (HR) Policies, Standard Operating Procedures (SOPs), and Institutional HR Manuals for Faculty Members and Non-Teaching Personnel, in accordance with the </w:t>
            </w:r>
            <w:r w:rsidR="002567EA" w:rsidRPr="0043428E">
              <w:rPr>
                <w:rFonts w:ascii="Calibri" w:eastAsia="Times New Roman" w:hAnsi="Calibri" w:cs="Calibri"/>
                <w:color w:val="000000"/>
                <w:kern w:val="0"/>
                <w:sz w:val="20"/>
                <w:szCs w:val="20"/>
                <w:lang w:eastAsia="en-IN"/>
                <w14:ligatures w14:val="none"/>
              </w:rPr>
              <w:t>Rules and Regulations like Labour laws</w:t>
            </w:r>
            <w:r w:rsidR="00502D18" w:rsidRPr="0043428E">
              <w:rPr>
                <w:rFonts w:ascii="Calibri" w:eastAsia="Times New Roman" w:hAnsi="Calibri" w:cs="Calibri"/>
                <w:color w:val="000000"/>
                <w:kern w:val="0"/>
                <w:sz w:val="20"/>
                <w:szCs w:val="20"/>
                <w:lang w:eastAsia="en-IN"/>
                <w14:ligatures w14:val="none"/>
              </w:rPr>
              <w:t xml:space="preserve"> etc </w:t>
            </w:r>
            <w:r w:rsidRPr="0043428E">
              <w:rPr>
                <w:rFonts w:ascii="Calibri" w:eastAsia="Times New Roman" w:hAnsi="Calibri" w:cs="Calibri"/>
                <w:color w:val="000000"/>
                <w:kern w:val="0"/>
                <w:sz w:val="20"/>
                <w:szCs w:val="20"/>
                <w:lang w:eastAsia="en-IN"/>
                <w14:ligatures w14:val="none"/>
              </w:rPr>
              <w:t xml:space="preserve">and </w:t>
            </w:r>
            <w:r w:rsidR="00502D18" w:rsidRPr="0043428E">
              <w:rPr>
                <w:rFonts w:ascii="Calibri" w:eastAsia="Times New Roman" w:hAnsi="Calibri" w:cs="Calibri"/>
                <w:color w:val="000000"/>
                <w:kern w:val="0"/>
                <w:sz w:val="20"/>
                <w:szCs w:val="20"/>
                <w:lang w:eastAsia="en-IN"/>
                <w14:ligatures w14:val="none"/>
              </w:rPr>
              <w:t xml:space="preserve">the </w:t>
            </w:r>
            <w:r w:rsidRPr="0043428E">
              <w:rPr>
                <w:rFonts w:ascii="Calibri" w:eastAsia="Times New Roman" w:hAnsi="Calibri" w:cs="Calibri"/>
                <w:color w:val="000000"/>
                <w:kern w:val="0"/>
                <w:sz w:val="20"/>
                <w:szCs w:val="20"/>
                <w:lang w:eastAsia="en-IN"/>
                <w14:ligatures w14:val="none"/>
              </w:rPr>
              <w:t>best practices adopted by premier educational institutions.</w:t>
            </w:r>
          </w:p>
          <w:p w14:paraId="56A22126" w14:textId="77777777" w:rsidR="00E837B2" w:rsidRPr="0043428E" w:rsidRDefault="00E837B2" w:rsidP="00E837B2">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Ensure statutory compliance with applicable Labour and Employment Legislations of the Government of India, including but not limited to the Industrial Disputes Act, Employees' Provident Fund and Miscellaneous Provisions Act, Contract Labour (Regulation and Abolition) Act, and the Employees' State Insurance Act.</w:t>
            </w:r>
          </w:p>
          <w:p w14:paraId="0BD32996" w14:textId="7DFC0BBF" w:rsidR="00E837B2" w:rsidRPr="0043428E" w:rsidRDefault="00E837B2" w:rsidP="00E837B2">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Align institutional Human Resource Management practices with the regulatory and quality assurance frameworks of statutory and accreditation bodies such as the University Grants Commission (UGC), All India Council for Technical Education (AICTE), National Assessment and Accreditation Council (NAAC), and international standards prescribed</w:t>
            </w:r>
            <w:r w:rsidR="00A71482">
              <w:rPr>
                <w:rFonts w:ascii="Calibri" w:eastAsia="Times New Roman" w:hAnsi="Calibri" w:cs="Calibri"/>
                <w:color w:val="000000"/>
                <w:kern w:val="0"/>
                <w:sz w:val="20"/>
                <w:szCs w:val="20"/>
                <w:lang w:eastAsia="en-IN"/>
                <w14:ligatures w14:val="none"/>
              </w:rPr>
              <w:t xml:space="preserve"> by the respective agencies.</w:t>
            </w:r>
          </w:p>
          <w:p w14:paraId="2D0B7582" w14:textId="7527A0B8" w:rsidR="006F43DF" w:rsidRPr="0043428E" w:rsidRDefault="00E837B2" w:rsidP="00E837B2">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Conduct periodic Internal Audits, HR Due Diligence, and Statutory Compliance Reviews to ensure adherence to institutional policies, service rules, and regulatory requirements.</w:t>
            </w:r>
          </w:p>
        </w:tc>
      </w:tr>
      <w:tr w:rsidR="00EB6932" w:rsidRPr="0043428E" w14:paraId="7A682199"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241DF5CC"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2</w:t>
            </w:r>
          </w:p>
        </w:tc>
        <w:tc>
          <w:tcPr>
            <w:tcW w:w="1295" w:type="dxa"/>
            <w:hideMark/>
          </w:tcPr>
          <w:p w14:paraId="2C6B6575"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Manpower Planning, Recruitment &amp; Appointments</w:t>
            </w:r>
          </w:p>
        </w:tc>
        <w:tc>
          <w:tcPr>
            <w:tcW w:w="7178" w:type="dxa"/>
            <w:hideMark/>
          </w:tcPr>
          <w:p w14:paraId="628DD2CA" w14:textId="77777777" w:rsidR="001D7AA5" w:rsidRPr="0043428E" w:rsidRDefault="00EB6932" w:rsidP="001D7AA5">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 xml:space="preserve"> </w:t>
            </w:r>
            <w:r w:rsidR="001D7AA5" w:rsidRPr="0043428E">
              <w:rPr>
                <w:rFonts w:ascii="Calibri" w:eastAsia="Times New Roman" w:hAnsi="Calibri" w:cs="Calibri"/>
                <w:color w:val="000000"/>
                <w:kern w:val="0"/>
                <w:sz w:val="20"/>
                <w:szCs w:val="20"/>
                <w:lang w:eastAsia="en-IN"/>
                <w14:ligatures w14:val="none"/>
              </w:rPr>
              <w:t>Undertake manpower planning and budgeting in alignment with the sanctioned strength as approved by the Competent Authority, ensuring role-based recruitment in accordance with institutional requirements and cadre structures.</w:t>
            </w:r>
          </w:p>
          <w:p w14:paraId="24E873EE" w14:textId="77777777" w:rsidR="001D7AA5" w:rsidRPr="0043428E" w:rsidRDefault="001D7AA5" w:rsidP="001D7AA5">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Execute the end-to-end recruitment process for Faculty and Non-Teaching Staff, including the issuance of recruitment notifications/advertisements, screening and shortlisting of applications, coordination of selection committee proceedings, and issuance of offer letters, appointment orders, and other engagement formalities as per extant rules.</w:t>
            </w:r>
          </w:p>
          <w:p w14:paraId="12B1268C" w14:textId="77777777" w:rsidR="001D7AA5" w:rsidRPr="0043428E" w:rsidRDefault="001D7AA5" w:rsidP="001D7AA5">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lastRenderedPageBreak/>
              <w:t>Ensure thorough verification of academic and professional credentials, finalisation of service terms and conditions, and formal induction/orientation of selected candidates into institutional service in accordance with HR policies and statutory guidelines.</w:t>
            </w:r>
          </w:p>
          <w:p w14:paraId="2F2004E2" w14:textId="45910973" w:rsidR="00EB6932" w:rsidRPr="000556DF" w:rsidRDefault="001D7AA5" w:rsidP="001D7AA5">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Uphold the principles of diversity, equity, and inclusion (DEI) in all recruitment and selection processes, in alignment with national policies on social justice, reservation norms, and institutional values promoting inclusive excellence.</w:t>
            </w:r>
          </w:p>
        </w:tc>
      </w:tr>
      <w:tr w:rsidR="00EB6932" w:rsidRPr="0043428E" w14:paraId="41497DBF"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14B10BF5"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lastRenderedPageBreak/>
              <w:t>3</w:t>
            </w:r>
          </w:p>
        </w:tc>
        <w:tc>
          <w:tcPr>
            <w:tcW w:w="1295" w:type="dxa"/>
            <w:hideMark/>
          </w:tcPr>
          <w:p w14:paraId="672467E7"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Employee Service Records &amp; HRIS Administration</w:t>
            </w:r>
          </w:p>
        </w:tc>
        <w:tc>
          <w:tcPr>
            <w:tcW w:w="7178" w:type="dxa"/>
            <w:hideMark/>
          </w:tcPr>
          <w:p w14:paraId="4BAB123A" w14:textId="77777777" w:rsidR="002558D3" w:rsidRPr="0043428E" w:rsidRDefault="002558D3" w:rsidP="002558D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Maintain accurate, up-to-date, and verifiable employee service records in both digital and physical formats, in accordance with institutional protocols and audit requirements.</w:t>
            </w:r>
          </w:p>
          <w:p w14:paraId="4B5B9AD0" w14:textId="4C41E8B3" w:rsidR="002558D3" w:rsidRPr="0043428E" w:rsidRDefault="002558D3" w:rsidP="002558D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Implement and manage Human Resource Information System (HRIS)</w:t>
            </w:r>
            <w:r w:rsidR="005B5218" w:rsidRPr="0043428E">
              <w:rPr>
                <w:rFonts w:ascii="Calibri" w:eastAsia="Times New Roman" w:hAnsi="Calibri" w:cs="Calibri"/>
                <w:color w:val="000000"/>
                <w:kern w:val="0"/>
                <w:sz w:val="20"/>
                <w:szCs w:val="20"/>
                <w:lang w:eastAsia="en-IN"/>
                <w14:ligatures w14:val="none"/>
              </w:rPr>
              <w:t>-ERP</w:t>
            </w:r>
            <w:r w:rsidRPr="0043428E">
              <w:rPr>
                <w:rFonts w:ascii="Calibri" w:eastAsia="Times New Roman" w:hAnsi="Calibri" w:cs="Calibri"/>
                <w:color w:val="000000"/>
                <w:kern w:val="0"/>
                <w:sz w:val="20"/>
                <w:szCs w:val="20"/>
                <w:lang w:eastAsia="en-IN"/>
                <w14:ligatures w14:val="none"/>
              </w:rPr>
              <w:t xml:space="preserve"> modules for capturing and updating essential personnel data, including biographical details, academic and professional qualifications, service tenure, career progression/promotion records, and service milestones such as probation confirmation, leave records, retirement, and superannuation.</w:t>
            </w:r>
          </w:p>
          <w:p w14:paraId="7AB30811" w14:textId="59CB9A5B" w:rsidR="00EB6932" w:rsidRPr="0043428E" w:rsidRDefault="002558D3" w:rsidP="002558D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Ensure strict adherence to data privacy norms, confidentiality protocols, and compliance with applicable provisions under the Information Technology Act, institutional data governance policies, and relevant Government of India guidelines on digital record management.</w:t>
            </w:r>
            <w:r w:rsidR="00EB6932" w:rsidRPr="000556DF">
              <w:rPr>
                <w:rFonts w:ascii="Calibri" w:eastAsia="Times New Roman" w:hAnsi="Calibri" w:cs="Calibri"/>
                <w:color w:val="000000"/>
                <w:kern w:val="0"/>
                <w:sz w:val="20"/>
                <w:szCs w:val="20"/>
                <w:lang w:eastAsia="en-IN"/>
                <w14:ligatures w14:val="none"/>
              </w:rPr>
              <w:t xml:space="preserve"> </w:t>
            </w:r>
          </w:p>
        </w:tc>
      </w:tr>
      <w:tr w:rsidR="00EB6932" w:rsidRPr="0043428E" w14:paraId="6ABB9D51"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10539778"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4</w:t>
            </w:r>
          </w:p>
        </w:tc>
        <w:tc>
          <w:tcPr>
            <w:tcW w:w="1295" w:type="dxa"/>
            <w:hideMark/>
          </w:tcPr>
          <w:p w14:paraId="71E68F63"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Performance Management &amp; Appraisal Compliance</w:t>
            </w:r>
          </w:p>
        </w:tc>
        <w:tc>
          <w:tcPr>
            <w:tcW w:w="7178" w:type="dxa"/>
            <w:hideMark/>
          </w:tcPr>
          <w:p w14:paraId="0CFF3C14" w14:textId="77777777" w:rsidR="00BB1908" w:rsidRPr="0043428E" w:rsidRDefault="00BB1908" w:rsidP="00BB1908">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Implement and periodically monitor Performance Appraisal Systems based on Key Performance Indicators (KPIs) and Academic Performance Indicators (APIs), in line with regulatory frameworks prescribed by bodies such as the UGC, AICTE, and other accreditation agencies.</w:t>
            </w:r>
          </w:p>
          <w:p w14:paraId="2DF21A11" w14:textId="77777777" w:rsidR="00BB1908" w:rsidRPr="0043428E" w:rsidRDefault="00BB1908" w:rsidP="00BB1908">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Coordinate the conduct of timely performance reviews for Faculty and Non-Teaching Staff in consultation with respective Academic and Administrative Departments, ensuring objectivity, transparency, and institutional alignment.</w:t>
            </w:r>
          </w:p>
          <w:p w14:paraId="6A68F8CB" w14:textId="77777777" w:rsidR="00BB1908" w:rsidRPr="0043428E" w:rsidRDefault="00BB1908" w:rsidP="00BB1908">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Maintain comprehensive and auditable documentation related to Performance Appraisal Reports, Career Advancement Schemes (CAS), incentive structures, and redressal of grievances, in accordance with institutional policy and statutory norms.</w:t>
            </w:r>
          </w:p>
          <w:p w14:paraId="3517BD08" w14:textId="7CE08F87" w:rsidR="00EB6932" w:rsidRPr="0043428E" w:rsidRDefault="00BB1908" w:rsidP="00BB1908">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Facilitate Training Needs Identification (TNI) based on appraisal outcomes to inform the design and delivery of Capacity Building, Faculty Development Programmes (FDPs), and Professional Development Initiatives.</w:t>
            </w:r>
          </w:p>
        </w:tc>
      </w:tr>
      <w:tr w:rsidR="00EB6932" w:rsidRPr="0043428E" w14:paraId="6CB1EC5F"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451B843A"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5</w:t>
            </w:r>
          </w:p>
        </w:tc>
        <w:tc>
          <w:tcPr>
            <w:tcW w:w="1295" w:type="dxa"/>
            <w:hideMark/>
          </w:tcPr>
          <w:p w14:paraId="4BAC759E"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Industrial and Employee Relations</w:t>
            </w:r>
          </w:p>
        </w:tc>
        <w:tc>
          <w:tcPr>
            <w:tcW w:w="7178" w:type="dxa"/>
            <w:hideMark/>
          </w:tcPr>
          <w:p w14:paraId="3EAE2F42" w14:textId="77777777" w:rsidR="00580D7E" w:rsidRPr="0043428E" w:rsidRDefault="00EB6932" w:rsidP="00580D7E">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 xml:space="preserve"> </w:t>
            </w:r>
            <w:r w:rsidR="00580D7E" w:rsidRPr="0043428E">
              <w:rPr>
                <w:rFonts w:ascii="Calibri" w:eastAsia="Times New Roman" w:hAnsi="Calibri" w:cs="Calibri"/>
                <w:color w:val="000000"/>
                <w:kern w:val="0"/>
                <w:sz w:val="20"/>
                <w:szCs w:val="20"/>
                <w:lang w:eastAsia="en-IN"/>
                <w14:ligatures w14:val="none"/>
              </w:rPr>
              <w:t>Monitor, investigate, and resolve workplace grievances and interpersonal disputes through established grievance redressal mechanisms, ensuring adherence to principles of natural justice and institutional fairness.</w:t>
            </w:r>
          </w:p>
          <w:p w14:paraId="33CD29C5" w14:textId="47EED9D6" w:rsidR="00580D7E" w:rsidRPr="0043428E" w:rsidRDefault="00580D7E" w:rsidP="00580D7E">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Conduct domestic inquiries and disciplinary proceedings in compliance with the service conditions, and due process as mandated under relevant statutes and institutional regulations.</w:t>
            </w:r>
          </w:p>
          <w:p w14:paraId="7CF26717" w14:textId="77777777" w:rsidR="00580D7E" w:rsidRPr="0043428E" w:rsidRDefault="00580D7E" w:rsidP="00580D7E">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Represent the institution in labour disputes and related matters before appropriate statutory authorities, conciliation forums, or labour courts, as required, coordinating with legal counsel and administrative leadership.</w:t>
            </w:r>
          </w:p>
          <w:p w14:paraId="3229125B" w14:textId="4479A1A7" w:rsidR="00EB6932" w:rsidRPr="0043428E" w:rsidRDefault="00580D7E" w:rsidP="00580D7E">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Maintain and uphold employee discipline by enforcing the institution’s Code of Conduct, service rules, and ensuring a work environment conducive to ethical and professional behaviour.</w:t>
            </w:r>
          </w:p>
        </w:tc>
      </w:tr>
      <w:tr w:rsidR="00EB6932" w:rsidRPr="0043428E" w14:paraId="7864CD13" w14:textId="77777777" w:rsidTr="00A71482">
        <w:trPr>
          <w:trHeight w:val="522"/>
        </w:trPr>
        <w:tc>
          <w:tcPr>
            <w:cnfStyle w:val="001000000000" w:firstRow="0" w:lastRow="0" w:firstColumn="1" w:lastColumn="0" w:oddVBand="0" w:evenVBand="0" w:oddHBand="0" w:evenHBand="0" w:firstRowFirstColumn="0" w:firstRowLastColumn="0" w:lastRowFirstColumn="0" w:lastRowLastColumn="0"/>
            <w:tcW w:w="543" w:type="dxa"/>
            <w:hideMark/>
          </w:tcPr>
          <w:p w14:paraId="48C5B1C7"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6</w:t>
            </w:r>
          </w:p>
        </w:tc>
        <w:tc>
          <w:tcPr>
            <w:tcW w:w="1295" w:type="dxa"/>
            <w:hideMark/>
          </w:tcPr>
          <w:p w14:paraId="6341EDD1"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Statutory Compliance &amp; Contractual Workforce Governance</w:t>
            </w:r>
          </w:p>
        </w:tc>
        <w:tc>
          <w:tcPr>
            <w:tcW w:w="7178" w:type="dxa"/>
            <w:hideMark/>
          </w:tcPr>
          <w:p w14:paraId="2283EDF7" w14:textId="211A5FEA" w:rsidR="009D2903" w:rsidRPr="0043428E" w:rsidRDefault="009D2903" w:rsidP="009D290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Ensure strict compliance with statutory labour laws including the Contract Labour (Regulation &amp; Abolition) Act (CLRA), Minimum Wages Act, and Equal Remuneration Act, EPFO Act, ESIC Act, Gratuity Act, Maternity Benefit Act and any such act which is applicable to the institution and its contractors.</w:t>
            </w:r>
          </w:p>
          <w:p w14:paraId="3500D7B2" w14:textId="77777777" w:rsidR="009D2903" w:rsidRPr="0043428E" w:rsidRDefault="009D2903" w:rsidP="009D290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Monitor and supervise the performance of third-party contractors and manpower service providers to ensure their adherence to all relevant statutory provisions, labour regulations, and institutional policies.</w:t>
            </w:r>
          </w:p>
          <w:p w14:paraId="7A8D3180" w14:textId="77777777" w:rsidR="009D2903" w:rsidRPr="0043428E" w:rsidRDefault="009D2903" w:rsidP="009D290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Maintain comprehensive and verifiable audit records such as muster rolls, wage registers, attendance records, and statutory compliance certificates, to facilitate internal and external audits.</w:t>
            </w:r>
          </w:p>
          <w:p w14:paraId="734D528C" w14:textId="3F5F150A" w:rsidR="00EB6932" w:rsidRPr="0043428E" w:rsidRDefault="009D2903" w:rsidP="009D290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Vet contracts, service agreements, and enforce Service Level Agreements (SLAs) with manpower vendors to ensure delivery of agreed services in compliance with labour laws, institutional standards, and timelines.</w:t>
            </w:r>
          </w:p>
        </w:tc>
      </w:tr>
      <w:tr w:rsidR="00EB6932" w:rsidRPr="0043428E" w14:paraId="6604BBFB"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21EEA772"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7</w:t>
            </w:r>
          </w:p>
        </w:tc>
        <w:tc>
          <w:tcPr>
            <w:tcW w:w="1295" w:type="dxa"/>
            <w:hideMark/>
          </w:tcPr>
          <w:p w14:paraId="5B9A7324"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 xml:space="preserve">Remuneration, Benefits, and Payroll </w:t>
            </w:r>
            <w:r w:rsidRPr="000556DF">
              <w:rPr>
                <w:rFonts w:ascii="Calibri" w:eastAsia="Times New Roman" w:hAnsi="Calibri" w:cs="Calibri"/>
                <w:b/>
                <w:bCs/>
                <w:color w:val="000000"/>
                <w:kern w:val="0"/>
                <w:sz w:val="20"/>
                <w:szCs w:val="20"/>
                <w:lang w:eastAsia="en-IN"/>
                <w14:ligatures w14:val="none"/>
              </w:rPr>
              <w:lastRenderedPageBreak/>
              <w:t>Administration</w:t>
            </w:r>
          </w:p>
        </w:tc>
        <w:tc>
          <w:tcPr>
            <w:tcW w:w="7178" w:type="dxa"/>
            <w:hideMark/>
          </w:tcPr>
          <w:p w14:paraId="0BCFC809" w14:textId="48A52723" w:rsidR="00AC6FB0" w:rsidRPr="0043428E" w:rsidRDefault="00AC6FB0" w:rsidP="00AC6FB0">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lastRenderedPageBreak/>
              <w:t>Maintain, review, and implement institutional pay structures and salary scales for all categories of employees in accordance with approved service rules, and institutional policies.</w:t>
            </w:r>
          </w:p>
          <w:p w14:paraId="682E6832" w14:textId="77777777" w:rsidR="00AC6FB0" w:rsidRPr="0043428E" w:rsidRDefault="00AC6FB0" w:rsidP="00AC6FB0">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lastRenderedPageBreak/>
              <w:t>Administer allowances, reimbursements, and welfare benefits as prescribed under relevant rules, ensuring timely disbursement and adherence to statutory and institutional norms.</w:t>
            </w:r>
          </w:p>
          <w:p w14:paraId="22D19D53" w14:textId="77777777" w:rsidR="00AC6FB0" w:rsidRPr="0043428E" w:rsidRDefault="00AC6FB0" w:rsidP="00AC6FB0">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Address and resolve pay anomalies and discrepancies, ensure timely corrections, and maintain a complete and auditable payroll record and audit trail for transparency and accountability.</w:t>
            </w:r>
          </w:p>
          <w:p w14:paraId="4F4004CB" w14:textId="6A37DFAC" w:rsidR="00EB6932" w:rsidRPr="0043428E" w:rsidRDefault="00AC6FB0" w:rsidP="00AC6FB0">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Document, communicate, and disseminate pay-related decisions and revisions to employees with clarity and transparency, maintaining compliance with institutional communication protocols and service regulations.</w:t>
            </w:r>
          </w:p>
        </w:tc>
      </w:tr>
      <w:tr w:rsidR="00EB6932" w:rsidRPr="0043428E" w14:paraId="12867F11"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02DDC958"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lastRenderedPageBreak/>
              <w:t>8</w:t>
            </w:r>
          </w:p>
        </w:tc>
        <w:tc>
          <w:tcPr>
            <w:tcW w:w="1295" w:type="dxa"/>
            <w:hideMark/>
          </w:tcPr>
          <w:p w14:paraId="1181F243"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Employee Induction, Probation, and Confirmation</w:t>
            </w:r>
          </w:p>
        </w:tc>
        <w:tc>
          <w:tcPr>
            <w:tcW w:w="7178" w:type="dxa"/>
            <w:hideMark/>
          </w:tcPr>
          <w:p w14:paraId="05A33955" w14:textId="77777777" w:rsidR="00545563" w:rsidRPr="0043428E" w:rsidRDefault="00545563"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Conduct a structured induction programme for new recruits, covering institutional policies, statutory compliance requirements, roles, responsibilities, and organizational expectations, to facilitate smooth assimilation into the institution.</w:t>
            </w:r>
          </w:p>
          <w:p w14:paraId="31376E95" w14:textId="77777777" w:rsidR="00545563" w:rsidRPr="0043428E" w:rsidRDefault="00545563"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Monitor and evaluate the performance of employees during the probation period through periodic assessments and feedback mechanisms, in line with prescribed guidelines.</w:t>
            </w:r>
          </w:p>
          <w:p w14:paraId="510122AC" w14:textId="77777777" w:rsidR="00545563" w:rsidRPr="0043428E" w:rsidRDefault="00545563"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Facilitate the process of probation extension, confirmation, or termination by obtaining necessary approvals from the competent authority, ensuring adherence to due process and service rules.</w:t>
            </w:r>
          </w:p>
          <w:p w14:paraId="4137BE26" w14:textId="03072682" w:rsidR="00EB6932" w:rsidRPr="0043428E" w:rsidRDefault="00545563"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Issue confirmation letters, service orders, and related documentation in a timely manner, maintaining proper records for audit and compliance purposes.</w:t>
            </w:r>
          </w:p>
        </w:tc>
      </w:tr>
      <w:tr w:rsidR="00EB6932" w:rsidRPr="0043428E" w14:paraId="434C785D" w14:textId="77777777" w:rsidTr="00A71482">
        <w:trPr>
          <w:trHeight w:val="2093"/>
        </w:trPr>
        <w:tc>
          <w:tcPr>
            <w:cnfStyle w:val="001000000000" w:firstRow="0" w:lastRow="0" w:firstColumn="1" w:lastColumn="0" w:oddVBand="0" w:evenVBand="0" w:oddHBand="0" w:evenHBand="0" w:firstRowFirstColumn="0" w:firstRowLastColumn="0" w:lastRowFirstColumn="0" w:lastRowLastColumn="0"/>
            <w:tcW w:w="543" w:type="dxa"/>
            <w:hideMark/>
          </w:tcPr>
          <w:p w14:paraId="00980141"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9</w:t>
            </w:r>
          </w:p>
        </w:tc>
        <w:tc>
          <w:tcPr>
            <w:tcW w:w="1295" w:type="dxa"/>
            <w:hideMark/>
          </w:tcPr>
          <w:p w14:paraId="6274C7F1"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Leave Management &amp; Attendance Control</w:t>
            </w:r>
          </w:p>
        </w:tc>
        <w:tc>
          <w:tcPr>
            <w:tcW w:w="7178" w:type="dxa"/>
            <w:hideMark/>
          </w:tcPr>
          <w:p w14:paraId="22551239" w14:textId="06A8C782" w:rsidR="00545563" w:rsidRPr="0043428E" w:rsidRDefault="00EB6932"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 xml:space="preserve"> </w:t>
            </w:r>
            <w:r w:rsidR="00545563" w:rsidRPr="0043428E">
              <w:rPr>
                <w:rFonts w:ascii="Calibri" w:eastAsia="Times New Roman" w:hAnsi="Calibri" w:cs="Calibri"/>
                <w:color w:val="000000"/>
                <w:kern w:val="0"/>
                <w:sz w:val="20"/>
                <w:szCs w:val="20"/>
                <w:lang w:eastAsia="en-IN"/>
                <w14:ligatures w14:val="none"/>
              </w:rPr>
              <w:t>Administer and manage leave policies and entitlements for employees, including all types of leave, in accordance with institutional service rules and regulations.</w:t>
            </w:r>
          </w:p>
          <w:p w14:paraId="34A8DDFD" w14:textId="61516C34" w:rsidR="00545563" w:rsidRPr="00545563" w:rsidRDefault="00545563"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545563">
              <w:rPr>
                <w:rFonts w:ascii="Calibri" w:eastAsia="Times New Roman" w:hAnsi="Calibri" w:cs="Calibri"/>
                <w:color w:val="000000"/>
                <w:kern w:val="0"/>
                <w:sz w:val="20"/>
                <w:szCs w:val="20"/>
                <w:lang w:eastAsia="en-IN"/>
                <w14:ligatures w14:val="none"/>
              </w:rPr>
              <w:t>Monitor and record employee attendance using biometric systems, ERP platforms, or other approved attendance management tools to ensure accuracy and accountability.</w:t>
            </w:r>
          </w:p>
          <w:p w14:paraId="4D58FF1D" w14:textId="09853768" w:rsidR="00545563" w:rsidRPr="00545563" w:rsidRDefault="00545563"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545563">
              <w:rPr>
                <w:rFonts w:ascii="Calibri" w:eastAsia="Times New Roman" w:hAnsi="Calibri" w:cs="Calibri"/>
                <w:color w:val="000000"/>
                <w:kern w:val="0"/>
                <w:sz w:val="20"/>
                <w:szCs w:val="20"/>
                <w:lang w:eastAsia="en-IN"/>
                <w14:ligatures w14:val="none"/>
              </w:rPr>
              <w:t>Conduct periodic audits of leave records, including verification of Loss of Pay (LOP) deductions, to maintain compliance with institutional and statutory guidelines.</w:t>
            </w:r>
          </w:p>
          <w:p w14:paraId="352764A2" w14:textId="3D77536B" w:rsidR="00EB6932" w:rsidRPr="0043428E" w:rsidRDefault="00545563" w:rsidP="00545563">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545563">
              <w:rPr>
                <w:rFonts w:ascii="Calibri" w:eastAsia="Times New Roman" w:hAnsi="Calibri" w:cs="Calibri"/>
                <w:color w:val="000000"/>
                <w:kern w:val="0"/>
                <w:sz w:val="20"/>
                <w:szCs w:val="20"/>
                <w:lang w:eastAsia="en-IN"/>
                <w14:ligatures w14:val="none"/>
              </w:rPr>
              <w:t>Prepare and disseminate monthly leave and attendance reports to Heads of Departments (</w:t>
            </w:r>
            <w:proofErr w:type="spellStart"/>
            <w:r w:rsidRPr="00545563">
              <w:rPr>
                <w:rFonts w:ascii="Calibri" w:eastAsia="Times New Roman" w:hAnsi="Calibri" w:cs="Calibri"/>
                <w:color w:val="000000"/>
                <w:kern w:val="0"/>
                <w:sz w:val="20"/>
                <w:szCs w:val="20"/>
                <w:lang w:eastAsia="en-IN"/>
                <w14:ligatures w14:val="none"/>
              </w:rPr>
              <w:t>HoDs</w:t>
            </w:r>
            <w:proofErr w:type="spellEnd"/>
            <w:r w:rsidRPr="00545563">
              <w:rPr>
                <w:rFonts w:ascii="Calibri" w:eastAsia="Times New Roman" w:hAnsi="Calibri" w:cs="Calibri"/>
                <w:color w:val="000000"/>
                <w:kern w:val="0"/>
                <w:sz w:val="20"/>
                <w:szCs w:val="20"/>
                <w:lang w:eastAsia="en-IN"/>
                <w14:ligatures w14:val="none"/>
              </w:rPr>
              <w:t>) and senior management for review and necessary action.</w:t>
            </w:r>
          </w:p>
        </w:tc>
      </w:tr>
      <w:tr w:rsidR="00EB6932" w:rsidRPr="0043428E" w14:paraId="5F204858"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145D8E27" w14:textId="77777777" w:rsidR="00EB6932" w:rsidRPr="000556DF" w:rsidRDefault="00EB693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10</w:t>
            </w:r>
          </w:p>
        </w:tc>
        <w:tc>
          <w:tcPr>
            <w:tcW w:w="1295" w:type="dxa"/>
            <w:hideMark/>
          </w:tcPr>
          <w:p w14:paraId="64233A5E" w14:textId="77777777" w:rsidR="00EB6932" w:rsidRPr="000556DF" w:rsidRDefault="00EB693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Training &amp; Capacity Building</w:t>
            </w:r>
          </w:p>
        </w:tc>
        <w:tc>
          <w:tcPr>
            <w:tcW w:w="7178" w:type="dxa"/>
            <w:hideMark/>
          </w:tcPr>
          <w:p w14:paraId="6DB3E81D" w14:textId="289F3135" w:rsidR="007A62B1" w:rsidRPr="0043428E" w:rsidRDefault="007A62B1" w:rsidP="007A62B1">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Organize and coordinate Faculty Development Programmes (FDPs), administrative training sessions to enhance the competencies and professional growth of academic and non-academic staff.</w:t>
            </w:r>
          </w:p>
          <w:p w14:paraId="0DD05E47" w14:textId="77777777" w:rsidR="007A62B1" w:rsidRPr="0043428E" w:rsidRDefault="007A62B1" w:rsidP="007A62B1">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Conduct skill gap analyses to identify training needs and prepare comprehensive annual training calendars aligned with institutional goals and accreditation requirements.</w:t>
            </w:r>
          </w:p>
          <w:p w14:paraId="377EC8A1" w14:textId="77777777" w:rsidR="007A62B1" w:rsidRPr="0043428E" w:rsidRDefault="007A62B1" w:rsidP="007A62B1">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Maintain detailed and verifiable training records and documentation to support compliance with accreditation standards set by bodies such as NAAC, AACSB, and NIRF.</w:t>
            </w:r>
          </w:p>
          <w:p w14:paraId="36831DF0" w14:textId="58DA220F" w:rsidR="00EB6932" w:rsidRPr="0043428E" w:rsidRDefault="007A62B1" w:rsidP="007A62B1">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Measure the effectiveness and impact of training initiatives through appropriate evaluation mechanisms and report on Return on Investment (ROI) to inform continuous improvement and strategic decision-making.</w:t>
            </w:r>
          </w:p>
        </w:tc>
      </w:tr>
      <w:tr w:rsidR="006E1A42" w:rsidRPr="0043428E" w14:paraId="5525E7E4"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13118BA0" w14:textId="77777777" w:rsidR="006E1A42" w:rsidRPr="000556DF" w:rsidRDefault="006E1A4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11</w:t>
            </w:r>
          </w:p>
        </w:tc>
        <w:tc>
          <w:tcPr>
            <w:tcW w:w="1295" w:type="dxa"/>
            <w:hideMark/>
          </w:tcPr>
          <w:p w14:paraId="232622F0" w14:textId="77777777" w:rsidR="006E1A42" w:rsidRPr="000556DF" w:rsidRDefault="006E1A4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Grievance Redressal &amp; Internal Complaints Handling</w:t>
            </w:r>
          </w:p>
        </w:tc>
        <w:tc>
          <w:tcPr>
            <w:tcW w:w="7178" w:type="dxa"/>
            <w:hideMark/>
          </w:tcPr>
          <w:p w14:paraId="4D7A8920" w14:textId="77777777" w:rsidR="00CB2507" w:rsidRPr="0043428E" w:rsidRDefault="00CB2507" w:rsidP="00CB2507">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Administer the Grievance Redressal Mechanism as per institutional policies, ensuring prompt and equitable resolution of employee complaints.</w:t>
            </w:r>
          </w:p>
          <w:p w14:paraId="6F67D12D" w14:textId="77777777" w:rsidR="00CB2507" w:rsidRPr="0043428E" w:rsidRDefault="00CB2507" w:rsidP="00CB2507">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Ensure timely and fair disposal of grievances in accordance with established procedures and regulatory guidelines.</w:t>
            </w:r>
          </w:p>
          <w:p w14:paraId="0917124E" w14:textId="69B72FF9" w:rsidR="006E1A42" w:rsidRPr="0043428E" w:rsidRDefault="00CB2507" w:rsidP="00CB2507">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Provide administrative and procedural support to the Internal Complaints Committee (ICC) constituted under the Prevention of Sexual Harassment (POSH) Act, 2013, ensuring compliance with legal mandates.</w:t>
            </w:r>
          </w:p>
        </w:tc>
      </w:tr>
      <w:tr w:rsidR="006E1A42" w:rsidRPr="0043428E" w14:paraId="35A23C77" w14:textId="77777777" w:rsidTr="00A71482">
        <w:trPr>
          <w:trHeight w:val="27"/>
        </w:trPr>
        <w:tc>
          <w:tcPr>
            <w:cnfStyle w:val="001000000000" w:firstRow="0" w:lastRow="0" w:firstColumn="1" w:lastColumn="0" w:oddVBand="0" w:evenVBand="0" w:oddHBand="0" w:evenHBand="0" w:firstRowFirstColumn="0" w:firstRowLastColumn="0" w:lastRowFirstColumn="0" w:lastRowLastColumn="0"/>
            <w:tcW w:w="543" w:type="dxa"/>
            <w:hideMark/>
          </w:tcPr>
          <w:p w14:paraId="13AF6A35" w14:textId="77777777" w:rsidR="006E1A42" w:rsidRPr="000556DF" w:rsidRDefault="006E1A4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12</w:t>
            </w:r>
          </w:p>
        </w:tc>
        <w:tc>
          <w:tcPr>
            <w:tcW w:w="1295" w:type="dxa"/>
            <w:hideMark/>
          </w:tcPr>
          <w:p w14:paraId="4B8A424E" w14:textId="77777777" w:rsidR="006E1A42" w:rsidRPr="000556DF" w:rsidRDefault="006E1A4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Separation, Superannuation, and Exit Formalities</w:t>
            </w:r>
          </w:p>
        </w:tc>
        <w:tc>
          <w:tcPr>
            <w:tcW w:w="7178" w:type="dxa"/>
            <w:hideMark/>
          </w:tcPr>
          <w:p w14:paraId="2B93DAD4" w14:textId="77777777" w:rsidR="0061478D" w:rsidRPr="0043428E" w:rsidRDefault="006E1A42"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t xml:space="preserve"> </w:t>
            </w:r>
            <w:r w:rsidR="0061478D" w:rsidRPr="0043428E">
              <w:rPr>
                <w:rFonts w:ascii="Calibri" w:eastAsia="Times New Roman" w:hAnsi="Calibri" w:cs="Calibri"/>
                <w:color w:val="000000"/>
                <w:kern w:val="0"/>
                <w:sz w:val="20"/>
                <w:szCs w:val="20"/>
                <w:lang w:eastAsia="en-IN"/>
                <w14:ligatures w14:val="none"/>
              </w:rPr>
              <w:t>Process resignations, superannuation, and terminations in strict accordance with service rules, institutional policies, and applicable labour laws.</w:t>
            </w:r>
          </w:p>
          <w:p w14:paraId="1C19332D" w14:textId="77777777" w:rsidR="0061478D"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 xml:space="preserve">Conduct </w:t>
            </w:r>
            <w:proofErr w:type="gramStart"/>
            <w:r w:rsidRPr="0043428E">
              <w:rPr>
                <w:rFonts w:ascii="Calibri" w:eastAsia="Times New Roman" w:hAnsi="Calibri" w:cs="Calibri"/>
                <w:color w:val="000000"/>
                <w:kern w:val="0"/>
                <w:sz w:val="20"/>
                <w:szCs w:val="20"/>
                <w:lang w:eastAsia="en-IN"/>
                <w14:ligatures w14:val="none"/>
              </w:rPr>
              <w:t>exit</w:t>
            </w:r>
            <w:proofErr w:type="gramEnd"/>
            <w:r w:rsidRPr="0043428E">
              <w:rPr>
                <w:rFonts w:ascii="Calibri" w:eastAsia="Times New Roman" w:hAnsi="Calibri" w:cs="Calibri"/>
                <w:color w:val="000000"/>
                <w:kern w:val="0"/>
                <w:sz w:val="20"/>
                <w:szCs w:val="20"/>
                <w:lang w:eastAsia="en-IN"/>
                <w14:ligatures w14:val="none"/>
              </w:rPr>
              <w:t xml:space="preserve"> interviews, coordinate the settlement of dues, and finalize Full and Final (F&amp;F) settlements in a timely and transparent manner.</w:t>
            </w:r>
          </w:p>
          <w:p w14:paraId="47552259" w14:textId="5E3FB3D5" w:rsidR="0061478D"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Issue service certificates, experience letters, and release clearance memos, maintaining proper documentation for audit and future reference.</w:t>
            </w:r>
          </w:p>
          <w:p w14:paraId="121E7604" w14:textId="281395DD" w:rsidR="006E1A42"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Ensure the issuance of No Objection Certificates (NOCs) and maintain comprehensive records for file closure and statutory compliance.</w:t>
            </w:r>
          </w:p>
        </w:tc>
      </w:tr>
      <w:tr w:rsidR="006E1A42" w:rsidRPr="0043428E" w14:paraId="4830D4AB" w14:textId="77777777" w:rsidTr="00A71482">
        <w:trPr>
          <w:trHeight w:val="1672"/>
        </w:trPr>
        <w:tc>
          <w:tcPr>
            <w:cnfStyle w:val="001000000000" w:firstRow="0" w:lastRow="0" w:firstColumn="1" w:lastColumn="0" w:oddVBand="0" w:evenVBand="0" w:oddHBand="0" w:evenHBand="0" w:firstRowFirstColumn="0" w:firstRowLastColumn="0" w:lastRowFirstColumn="0" w:lastRowLastColumn="0"/>
            <w:tcW w:w="543" w:type="dxa"/>
            <w:hideMark/>
          </w:tcPr>
          <w:p w14:paraId="6CA0AA46" w14:textId="77777777" w:rsidR="006E1A42" w:rsidRPr="000556DF" w:rsidRDefault="006E1A42" w:rsidP="000556DF">
            <w:pPr>
              <w:jc w:val="center"/>
              <w:rPr>
                <w:rFonts w:ascii="Calibri" w:eastAsia="Times New Roman" w:hAnsi="Calibri" w:cs="Calibri"/>
                <w:color w:val="000000"/>
                <w:kern w:val="0"/>
                <w:sz w:val="20"/>
                <w:szCs w:val="20"/>
                <w:lang w:eastAsia="en-IN"/>
                <w14:ligatures w14:val="none"/>
              </w:rPr>
            </w:pPr>
            <w:r w:rsidRPr="000556DF">
              <w:rPr>
                <w:rFonts w:ascii="Calibri" w:eastAsia="Times New Roman" w:hAnsi="Calibri" w:cs="Calibri"/>
                <w:color w:val="000000"/>
                <w:kern w:val="0"/>
                <w:sz w:val="20"/>
                <w:szCs w:val="20"/>
                <w:lang w:eastAsia="en-IN"/>
                <w14:ligatures w14:val="none"/>
              </w:rPr>
              <w:lastRenderedPageBreak/>
              <w:t>13</w:t>
            </w:r>
          </w:p>
        </w:tc>
        <w:tc>
          <w:tcPr>
            <w:tcW w:w="1295" w:type="dxa"/>
            <w:hideMark/>
          </w:tcPr>
          <w:p w14:paraId="6AB13E5B" w14:textId="77777777" w:rsidR="006E1A42" w:rsidRPr="000556DF" w:rsidRDefault="006E1A42" w:rsidP="000556D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0"/>
                <w:szCs w:val="20"/>
                <w:lang w:eastAsia="en-IN"/>
                <w14:ligatures w14:val="none"/>
              </w:rPr>
            </w:pPr>
            <w:r w:rsidRPr="000556DF">
              <w:rPr>
                <w:rFonts w:ascii="Calibri" w:eastAsia="Times New Roman" w:hAnsi="Calibri" w:cs="Calibri"/>
                <w:b/>
                <w:bCs/>
                <w:color w:val="000000"/>
                <w:kern w:val="0"/>
                <w:sz w:val="20"/>
                <w:szCs w:val="20"/>
                <w:lang w:eastAsia="en-IN"/>
                <w14:ligatures w14:val="none"/>
              </w:rPr>
              <w:t>Payroll Administration and Compensation Compliance</w:t>
            </w:r>
          </w:p>
        </w:tc>
        <w:tc>
          <w:tcPr>
            <w:tcW w:w="7178" w:type="dxa"/>
            <w:hideMark/>
          </w:tcPr>
          <w:p w14:paraId="474727D5" w14:textId="77777777" w:rsidR="0061478D"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Process monthly payroll by integrating inputs from attendance records, leave management systems, and the Human Resource Information System (HRIS).</w:t>
            </w:r>
          </w:p>
          <w:p w14:paraId="364DF0E1" w14:textId="77777777" w:rsidR="0061478D"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Ensure accurate calculation and timely remittance of statutory deductions including Provident Fund (PF), Employee State Insurance (ESI), Tax Deducted at Source (TDS), and Professional Tax (PT) as per prescribed timelines.</w:t>
            </w:r>
          </w:p>
          <w:p w14:paraId="22065BAA" w14:textId="77777777" w:rsidR="0061478D"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Maintain updated and auditable payroll registers to facilitate smooth internal and external audits.</w:t>
            </w:r>
          </w:p>
          <w:p w14:paraId="71C884B4" w14:textId="77777777" w:rsidR="0061478D"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Coordinate with the Finance Department for timely salary disbursal, processing of reimbursements, arrears, and other payments.</w:t>
            </w:r>
          </w:p>
          <w:p w14:paraId="2CB21DE0" w14:textId="43FB6C89" w:rsidR="006E1A42" w:rsidRPr="0043428E" w:rsidRDefault="0061478D" w:rsidP="0061478D">
            <w:pPr>
              <w:pStyle w:val="ListParagraph"/>
              <w:numPr>
                <w:ilvl w:val="0"/>
                <w:numId w:val="50"/>
              </w:numPr>
              <w:tabs>
                <w:tab w:val="left" w:pos="148"/>
              </w:tabs>
              <w:ind w:left="25" w:hanging="2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IN"/>
                <w14:ligatures w14:val="none"/>
              </w:rPr>
            </w:pPr>
            <w:r w:rsidRPr="0043428E">
              <w:rPr>
                <w:rFonts w:ascii="Calibri" w:eastAsia="Times New Roman" w:hAnsi="Calibri" w:cs="Calibri"/>
                <w:color w:val="000000"/>
                <w:kern w:val="0"/>
                <w:sz w:val="20"/>
                <w:szCs w:val="20"/>
                <w:lang w:eastAsia="en-IN"/>
                <w14:ligatures w14:val="none"/>
              </w:rPr>
              <w:t>Ensure strict confidentiality of payroll data and address employee queries related to salary and benefits promptly and professionally.</w:t>
            </w:r>
          </w:p>
        </w:tc>
      </w:tr>
    </w:tbl>
    <w:p w14:paraId="40FFC991" w14:textId="77777777" w:rsidR="00AF52DF" w:rsidRPr="0043428E" w:rsidRDefault="00AF52DF" w:rsidP="00C33121">
      <w:pPr>
        <w:rPr>
          <w:rFonts w:ascii="Calibri" w:hAnsi="Calibri" w:cs="Calibri"/>
          <w:b/>
          <w:bCs/>
          <w:sz w:val="20"/>
          <w:szCs w:val="20"/>
        </w:rPr>
      </w:pPr>
    </w:p>
    <w:p w14:paraId="7183B3CC" w14:textId="61F9A36F" w:rsidR="00C33121" w:rsidRPr="0043428E" w:rsidRDefault="00C33121" w:rsidP="00C33121">
      <w:pPr>
        <w:rPr>
          <w:rFonts w:ascii="Calibri" w:hAnsi="Calibri" w:cs="Calibri"/>
          <w:b/>
          <w:bCs/>
          <w:sz w:val="20"/>
          <w:szCs w:val="20"/>
        </w:rPr>
      </w:pPr>
      <w:r w:rsidRPr="0043428E">
        <w:rPr>
          <w:rFonts w:ascii="Calibri" w:hAnsi="Calibri" w:cs="Calibri"/>
          <w:b/>
          <w:bCs/>
          <w:sz w:val="20"/>
          <w:szCs w:val="20"/>
        </w:rPr>
        <w:t>Qualifications and Competencies</w:t>
      </w:r>
    </w:p>
    <w:tbl>
      <w:tblPr>
        <w:tblStyle w:val="TableGrid"/>
        <w:tblW w:w="0" w:type="auto"/>
        <w:tblLook w:val="04A0" w:firstRow="1" w:lastRow="0" w:firstColumn="1" w:lastColumn="0" w:noHBand="0" w:noVBand="1"/>
      </w:tblPr>
      <w:tblGrid>
        <w:gridCol w:w="1490"/>
        <w:gridCol w:w="7526"/>
      </w:tblGrid>
      <w:tr w:rsidR="00992995" w:rsidRPr="0043428E" w14:paraId="249B4499" w14:textId="77777777" w:rsidTr="00A71482">
        <w:trPr>
          <w:trHeight w:val="43"/>
        </w:trPr>
        <w:tc>
          <w:tcPr>
            <w:tcW w:w="0" w:type="auto"/>
            <w:hideMark/>
          </w:tcPr>
          <w:p w14:paraId="64959257" w14:textId="77777777" w:rsidR="00C33121" w:rsidRPr="0043428E" w:rsidRDefault="00C33121" w:rsidP="00C33121">
            <w:pPr>
              <w:spacing w:after="160" w:line="278" w:lineRule="auto"/>
              <w:rPr>
                <w:rFonts w:ascii="Calibri" w:hAnsi="Calibri" w:cs="Calibri"/>
                <w:sz w:val="20"/>
                <w:szCs w:val="20"/>
              </w:rPr>
            </w:pPr>
            <w:r w:rsidRPr="0043428E">
              <w:rPr>
                <w:rFonts w:ascii="Calibri" w:hAnsi="Calibri" w:cs="Calibri"/>
                <w:b/>
                <w:bCs/>
                <w:sz w:val="20"/>
                <w:szCs w:val="20"/>
              </w:rPr>
              <w:t>Category</w:t>
            </w:r>
          </w:p>
        </w:tc>
        <w:tc>
          <w:tcPr>
            <w:tcW w:w="0" w:type="auto"/>
            <w:hideMark/>
          </w:tcPr>
          <w:p w14:paraId="591C0FE9" w14:textId="77777777" w:rsidR="00C33121" w:rsidRPr="0043428E" w:rsidRDefault="00C33121" w:rsidP="00C33121">
            <w:pPr>
              <w:spacing w:after="160" w:line="278" w:lineRule="auto"/>
              <w:rPr>
                <w:rFonts w:ascii="Calibri" w:hAnsi="Calibri" w:cs="Calibri"/>
                <w:sz w:val="20"/>
                <w:szCs w:val="20"/>
              </w:rPr>
            </w:pPr>
            <w:r w:rsidRPr="0043428E">
              <w:rPr>
                <w:rFonts w:ascii="Calibri" w:hAnsi="Calibri" w:cs="Calibri"/>
                <w:b/>
                <w:bCs/>
                <w:sz w:val="20"/>
                <w:szCs w:val="20"/>
              </w:rPr>
              <w:t>Details</w:t>
            </w:r>
          </w:p>
        </w:tc>
      </w:tr>
      <w:tr w:rsidR="00992995" w:rsidRPr="0043428E" w14:paraId="1CED0482" w14:textId="77777777" w:rsidTr="00A71482">
        <w:trPr>
          <w:trHeight w:val="43"/>
        </w:trPr>
        <w:tc>
          <w:tcPr>
            <w:tcW w:w="0" w:type="auto"/>
            <w:hideMark/>
          </w:tcPr>
          <w:p w14:paraId="73A36B15" w14:textId="77777777" w:rsidR="00C33121" w:rsidRPr="0043428E" w:rsidRDefault="00C33121" w:rsidP="00C33121">
            <w:pPr>
              <w:spacing w:after="160" w:line="278" w:lineRule="auto"/>
              <w:rPr>
                <w:rFonts w:ascii="Calibri" w:hAnsi="Calibri" w:cs="Calibri"/>
                <w:sz w:val="20"/>
                <w:szCs w:val="20"/>
              </w:rPr>
            </w:pPr>
            <w:r w:rsidRPr="0043428E">
              <w:rPr>
                <w:rFonts w:ascii="Calibri" w:hAnsi="Calibri" w:cs="Calibri"/>
                <w:b/>
                <w:bCs/>
                <w:sz w:val="20"/>
                <w:szCs w:val="20"/>
              </w:rPr>
              <w:t>Educational Qualification</w:t>
            </w:r>
          </w:p>
        </w:tc>
        <w:tc>
          <w:tcPr>
            <w:tcW w:w="0" w:type="auto"/>
          </w:tcPr>
          <w:p w14:paraId="5F500C19" w14:textId="6670F103" w:rsidR="00C33121" w:rsidRPr="0043428E" w:rsidRDefault="008D315A" w:rsidP="00A71482">
            <w:pPr>
              <w:pStyle w:val="ListParagraph"/>
              <w:numPr>
                <w:ilvl w:val="0"/>
                <w:numId w:val="48"/>
              </w:numPr>
              <w:ind w:left="257" w:hanging="257"/>
              <w:jc w:val="both"/>
              <w:rPr>
                <w:rFonts w:ascii="Calibri" w:hAnsi="Calibri" w:cs="Calibri"/>
                <w:sz w:val="20"/>
                <w:szCs w:val="20"/>
              </w:rPr>
            </w:pPr>
            <w:r w:rsidRPr="0043428E">
              <w:rPr>
                <w:rFonts w:ascii="Calibri" w:hAnsi="Calibri" w:cs="Calibri"/>
                <w:sz w:val="20"/>
                <w:szCs w:val="20"/>
              </w:rPr>
              <w:t>Master’s degree in human resources</w:t>
            </w:r>
            <w:r w:rsidR="0043233F" w:rsidRPr="0043428E">
              <w:rPr>
                <w:rFonts w:ascii="Calibri" w:hAnsi="Calibri" w:cs="Calibri"/>
                <w:sz w:val="20"/>
                <w:szCs w:val="20"/>
              </w:rPr>
              <w:t>, Social Work, Labour Welfare, Industrial Relations, or a related field.</w:t>
            </w:r>
            <w:r w:rsidR="00A71482">
              <w:rPr>
                <w:rFonts w:ascii="Calibri" w:hAnsi="Calibri" w:cs="Calibri"/>
                <w:sz w:val="20"/>
                <w:szCs w:val="20"/>
              </w:rPr>
              <w:t xml:space="preserve"> </w:t>
            </w:r>
            <w:r w:rsidR="0043233F" w:rsidRPr="0043428E">
              <w:rPr>
                <w:rFonts w:ascii="Calibri" w:hAnsi="Calibri" w:cs="Calibri"/>
                <w:sz w:val="20"/>
                <w:szCs w:val="20"/>
              </w:rPr>
              <w:t>LLB qualification will be an added advantage.</w:t>
            </w:r>
          </w:p>
        </w:tc>
      </w:tr>
      <w:tr w:rsidR="00992995" w:rsidRPr="0043428E" w14:paraId="22AB8E63" w14:textId="77777777" w:rsidTr="00222E77">
        <w:tc>
          <w:tcPr>
            <w:tcW w:w="0" w:type="auto"/>
            <w:hideMark/>
          </w:tcPr>
          <w:p w14:paraId="4BD2B882" w14:textId="77777777" w:rsidR="00C33121" w:rsidRPr="0043428E" w:rsidRDefault="00C33121" w:rsidP="00C33121">
            <w:pPr>
              <w:spacing w:after="160" w:line="278" w:lineRule="auto"/>
              <w:rPr>
                <w:rFonts w:ascii="Calibri" w:hAnsi="Calibri" w:cs="Calibri"/>
                <w:sz w:val="20"/>
                <w:szCs w:val="20"/>
              </w:rPr>
            </w:pPr>
            <w:r w:rsidRPr="0043428E">
              <w:rPr>
                <w:rFonts w:ascii="Calibri" w:hAnsi="Calibri" w:cs="Calibri"/>
                <w:b/>
                <w:bCs/>
                <w:sz w:val="20"/>
                <w:szCs w:val="20"/>
              </w:rPr>
              <w:t>Experience</w:t>
            </w:r>
          </w:p>
        </w:tc>
        <w:tc>
          <w:tcPr>
            <w:tcW w:w="0" w:type="auto"/>
          </w:tcPr>
          <w:p w14:paraId="0CC73AA0" w14:textId="35BF9AA6" w:rsidR="008D315A" w:rsidRPr="0043428E" w:rsidRDefault="008D315A" w:rsidP="008D315A">
            <w:pPr>
              <w:pStyle w:val="ListParagraph"/>
              <w:numPr>
                <w:ilvl w:val="0"/>
                <w:numId w:val="48"/>
              </w:numPr>
              <w:ind w:left="257" w:hanging="257"/>
              <w:jc w:val="both"/>
              <w:rPr>
                <w:rFonts w:ascii="Calibri" w:hAnsi="Calibri" w:cs="Calibri"/>
                <w:sz w:val="20"/>
                <w:szCs w:val="20"/>
              </w:rPr>
            </w:pPr>
            <w:r w:rsidRPr="0043428E">
              <w:rPr>
                <w:rFonts w:ascii="Calibri" w:hAnsi="Calibri" w:cs="Calibri"/>
                <w:sz w:val="20"/>
                <w:szCs w:val="20"/>
              </w:rPr>
              <w:t xml:space="preserve">Minimum </w:t>
            </w:r>
            <w:r w:rsidR="002A01C9" w:rsidRPr="0043428E">
              <w:rPr>
                <w:rFonts w:ascii="Calibri" w:hAnsi="Calibri" w:cs="Calibri"/>
                <w:sz w:val="20"/>
                <w:szCs w:val="20"/>
              </w:rPr>
              <w:t>12</w:t>
            </w:r>
            <w:r w:rsidRPr="0043428E">
              <w:rPr>
                <w:rFonts w:ascii="Calibri" w:hAnsi="Calibri" w:cs="Calibri"/>
                <w:sz w:val="20"/>
                <w:szCs w:val="20"/>
              </w:rPr>
              <w:t xml:space="preserve"> years of professional experience in end-to-end Human Resource management (Hire to Retire), preferably at a reputed business school in India (such as those ranked in NIRF Top 100) or internationally (QS, THE, or FT ranked institutions).</w:t>
            </w:r>
          </w:p>
          <w:p w14:paraId="1ADF60C3" w14:textId="1EB042A3" w:rsidR="002760A2" w:rsidRPr="0043428E" w:rsidRDefault="002760A2" w:rsidP="002760A2">
            <w:pPr>
              <w:pStyle w:val="ListParagraph"/>
              <w:numPr>
                <w:ilvl w:val="0"/>
                <w:numId w:val="48"/>
              </w:numPr>
              <w:ind w:left="257" w:hanging="257"/>
              <w:jc w:val="both"/>
              <w:rPr>
                <w:rFonts w:ascii="Calibri" w:hAnsi="Calibri" w:cs="Calibri"/>
                <w:sz w:val="20"/>
                <w:szCs w:val="20"/>
              </w:rPr>
            </w:pPr>
            <w:r w:rsidRPr="0043428E">
              <w:rPr>
                <w:rFonts w:ascii="Calibri" w:hAnsi="Calibri" w:cs="Calibri"/>
                <w:sz w:val="20"/>
                <w:szCs w:val="20"/>
              </w:rPr>
              <w:t xml:space="preserve">At least 3 years in a leadership or managerial role overseeing </w:t>
            </w:r>
            <w:r w:rsidR="00992995" w:rsidRPr="0043428E">
              <w:rPr>
                <w:rFonts w:ascii="Calibri" w:hAnsi="Calibri" w:cs="Calibri"/>
                <w:sz w:val="20"/>
                <w:szCs w:val="20"/>
              </w:rPr>
              <w:t>the activities mentioned above, preferably at the Higher Educational Institutions or Universities.</w:t>
            </w:r>
          </w:p>
          <w:p w14:paraId="6DFD1F6D" w14:textId="65533661" w:rsidR="00C33121" w:rsidRPr="004D04DB" w:rsidRDefault="008D315A" w:rsidP="004D04DB">
            <w:pPr>
              <w:pStyle w:val="ListParagraph"/>
              <w:numPr>
                <w:ilvl w:val="0"/>
                <w:numId w:val="48"/>
              </w:numPr>
              <w:ind w:left="257" w:hanging="257"/>
              <w:jc w:val="both"/>
              <w:rPr>
                <w:rFonts w:ascii="Calibri" w:hAnsi="Calibri" w:cs="Calibri"/>
                <w:sz w:val="20"/>
                <w:szCs w:val="20"/>
              </w:rPr>
            </w:pPr>
            <w:r w:rsidRPr="0043428E">
              <w:rPr>
                <w:rFonts w:ascii="Calibri" w:hAnsi="Calibri" w:cs="Calibri"/>
                <w:sz w:val="20"/>
                <w:szCs w:val="20"/>
              </w:rPr>
              <w:t>Proven experience managing HR operations for faculty, administrative staff, and outsourced personnel.</w:t>
            </w:r>
          </w:p>
        </w:tc>
      </w:tr>
      <w:tr w:rsidR="00992995" w:rsidRPr="0043428E" w14:paraId="556ED36B" w14:textId="77777777" w:rsidTr="00505FC4">
        <w:tc>
          <w:tcPr>
            <w:tcW w:w="0" w:type="auto"/>
          </w:tcPr>
          <w:p w14:paraId="2A82341F" w14:textId="278A7D8D" w:rsidR="00C33121" w:rsidRPr="0043428E" w:rsidRDefault="00505FC4" w:rsidP="00C33121">
            <w:pPr>
              <w:spacing w:after="160" w:line="278" w:lineRule="auto"/>
              <w:rPr>
                <w:rFonts w:ascii="Calibri" w:hAnsi="Calibri" w:cs="Calibri"/>
                <w:sz w:val="20"/>
                <w:szCs w:val="20"/>
              </w:rPr>
            </w:pPr>
            <w:r w:rsidRPr="0043428E">
              <w:rPr>
                <w:rFonts w:ascii="Calibri" w:hAnsi="Calibri" w:cs="Calibri"/>
                <w:sz w:val="20"/>
                <w:szCs w:val="20"/>
              </w:rPr>
              <w:t>Skills</w:t>
            </w:r>
          </w:p>
        </w:tc>
        <w:tc>
          <w:tcPr>
            <w:tcW w:w="0" w:type="auto"/>
          </w:tcPr>
          <w:p w14:paraId="7B3B2170" w14:textId="77777777" w:rsidR="0043428E" w:rsidRPr="0043428E" w:rsidRDefault="0043428E" w:rsidP="0043428E">
            <w:pPr>
              <w:pStyle w:val="ListParagraph"/>
              <w:numPr>
                <w:ilvl w:val="0"/>
                <w:numId w:val="48"/>
              </w:numPr>
              <w:ind w:left="257" w:hanging="257"/>
              <w:jc w:val="both"/>
              <w:rPr>
                <w:rFonts w:ascii="Calibri" w:hAnsi="Calibri" w:cs="Calibri"/>
                <w:sz w:val="20"/>
                <w:szCs w:val="20"/>
              </w:rPr>
            </w:pPr>
            <w:r w:rsidRPr="0043428E">
              <w:rPr>
                <w:rFonts w:ascii="Calibri" w:hAnsi="Calibri" w:cs="Calibri"/>
                <w:sz w:val="20"/>
                <w:szCs w:val="20"/>
              </w:rPr>
              <w:t>Solid grasp of Indian Labour Laws and HR practices in higher education.</w:t>
            </w:r>
          </w:p>
          <w:p w14:paraId="10A44EAC" w14:textId="534176FB" w:rsidR="0043428E" w:rsidRPr="00A71482" w:rsidRDefault="0043428E" w:rsidP="00C903AF">
            <w:pPr>
              <w:pStyle w:val="ListParagraph"/>
              <w:numPr>
                <w:ilvl w:val="0"/>
                <w:numId w:val="48"/>
              </w:numPr>
              <w:ind w:left="257" w:hanging="257"/>
              <w:jc w:val="both"/>
              <w:rPr>
                <w:rFonts w:ascii="Calibri" w:hAnsi="Calibri" w:cs="Calibri"/>
                <w:sz w:val="20"/>
                <w:szCs w:val="20"/>
              </w:rPr>
            </w:pPr>
            <w:r w:rsidRPr="00A71482">
              <w:rPr>
                <w:rFonts w:ascii="Calibri" w:hAnsi="Calibri" w:cs="Calibri"/>
                <w:sz w:val="20"/>
                <w:szCs w:val="20"/>
              </w:rPr>
              <w:t>Skilled in HRIS platforms (e.g., SAP SuccessFactors) with a focus on data accuracy and confidentiality.</w:t>
            </w:r>
            <w:r w:rsidR="00A71482">
              <w:rPr>
                <w:rFonts w:ascii="Calibri" w:hAnsi="Calibri" w:cs="Calibri"/>
                <w:sz w:val="20"/>
                <w:szCs w:val="20"/>
              </w:rPr>
              <w:t xml:space="preserve"> </w:t>
            </w:r>
            <w:r w:rsidRPr="00A71482">
              <w:rPr>
                <w:rFonts w:ascii="Calibri" w:hAnsi="Calibri" w:cs="Calibri"/>
                <w:sz w:val="20"/>
                <w:szCs w:val="20"/>
              </w:rPr>
              <w:t>Proficient in using AI/ML tools for talent analytics, recruitment, performance management, and engagement tracking.</w:t>
            </w:r>
          </w:p>
          <w:p w14:paraId="05D15B44" w14:textId="50AC52F7" w:rsidR="0043428E" w:rsidRPr="00A71482" w:rsidRDefault="0043428E" w:rsidP="00356D9E">
            <w:pPr>
              <w:pStyle w:val="ListParagraph"/>
              <w:numPr>
                <w:ilvl w:val="0"/>
                <w:numId w:val="48"/>
              </w:numPr>
              <w:ind w:left="257" w:hanging="257"/>
              <w:jc w:val="both"/>
              <w:rPr>
                <w:rFonts w:ascii="Calibri" w:hAnsi="Calibri" w:cs="Calibri"/>
                <w:sz w:val="20"/>
                <w:szCs w:val="20"/>
              </w:rPr>
            </w:pPr>
            <w:r w:rsidRPr="00A71482">
              <w:rPr>
                <w:rFonts w:ascii="Calibri" w:hAnsi="Calibri" w:cs="Calibri"/>
                <w:sz w:val="20"/>
                <w:szCs w:val="20"/>
              </w:rPr>
              <w:t>Strong communication and interpersonal skills to engage faculty, staff, and students across all levels.</w:t>
            </w:r>
            <w:r w:rsidR="00A71482">
              <w:rPr>
                <w:rFonts w:ascii="Calibri" w:hAnsi="Calibri" w:cs="Calibri"/>
                <w:sz w:val="20"/>
                <w:szCs w:val="20"/>
              </w:rPr>
              <w:t xml:space="preserve"> </w:t>
            </w:r>
            <w:r w:rsidRPr="00A71482">
              <w:rPr>
                <w:rFonts w:ascii="Calibri" w:hAnsi="Calibri" w:cs="Calibri"/>
                <w:sz w:val="20"/>
                <w:szCs w:val="20"/>
              </w:rPr>
              <w:t>Excellent organizational ability to manage priorities and deadlines in dynamic academic settings.</w:t>
            </w:r>
            <w:r w:rsidR="00A71482" w:rsidRPr="00A71482">
              <w:rPr>
                <w:rFonts w:ascii="Calibri" w:hAnsi="Calibri" w:cs="Calibri"/>
                <w:sz w:val="20"/>
                <w:szCs w:val="20"/>
              </w:rPr>
              <w:t xml:space="preserve"> </w:t>
            </w:r>
            <w:r w:rsidRPr="00A71482">
              <w:rPr>
                <w:rFonts w:ascii="Calibri" w:hAnsi="Calibri" w:cs="Calibri"/>
                <w:sz w:val="20"/>
                <w:szCs w:val="20"/>
              </w:rPr>
              <w:t>High integrity and discretion in handling sensitive information.</w:t>
            </w:r>
          </w:p>
          <w:p w14:paraId="1C9D0A2C" w14:textId="4E2514E4" w:rsidR="00747FAE" w:rsidRPr="00A71482" w:rsidRDefault="0043428E" w:rsidP="00DC2DDF">
            <w:pPr>
              <w:pStyle w:val="ListParagraph"/>
              <w:numPr>
                <w:ilvl w:val="0"/>
                <w:numId w:val="48"/>
              </w:numPr>
              <w:ind w:left="257" w:hanging="257"/>
              <w:jc w:val="both"/>
              <w:rPr>
                <w:rFonts w:ascii="Calibri" w:hAnsi="Calibri" w:cs="Calibri"/>
                <w:sz w:val="20"/>
                <w:szCs w:val="20"/>
              </w:rPr>
            </w:pPr>
            <w:r w:rsidRPr="00A71482">
              <w:rPr>
                <w:rFonts w:ascii="Calibri" w:hAnsi="Calibri" w:cs="Calibri"/>
                <w:sz w:val="20"/>
                <w:szCs w:val="20"/>
              </w:rPr>
              <w:t>Collaborative with a commitment to inclusive and tech-enabled HR practices.</w:t>
            </w:r>
            <w:r w:rsidR="00A71482">
              <w:rPr>
                <w:rFonts w:ascii="Calibri" w:hAnsi="Calibri" w:cs="Calibri"/>
                <w:sz w:val="20"/>
                <w:szCs w:val="20"/>
              </w:rPr>
              <w:t xml:space="preserve"> </w:t>
            </w:r>
            <w:r w:rsidRPr="00A71482">
              <w:rPr>
                <w:rFonts w:ascii="Calibri" w:hAnsi="Calibri" w:cs="Calibri"/>
                <w:sz w:val="20"/>
                <w:szCs w:val="20"/>
              </w:rPr>
              <w:t xml:space="preserve">Adaptable to emerging trends in digital HR, agile teams, and hybrid workforce </w:t>
            </w:r>
            <w:r w:rsidR="00A71482" w:rsidRPr="00A71482">
              <w:rPr>
                <w:rFonts w:ascii="Calibri" w:hAnsi="Calibri" w:cs="Calibri"/>
                <w:sz w:val="20"/>
                <w:szCs w:val="20"/>
              </w:rPr>
              <w:t>models. Skilled</w:t>
            </w:r>
            <w:r w:rsidR="00747FAE" w:rsidRPr="00A71482">
              <w:rPr>
                <w:rFonts w:ascii="Calibri" w:hAnsi="Calibri" w:cs="Calibri"/>
                <w:sz w:val="20"/>
                <w:szCs w:val="20"/>
              </w:rPr>
              <w:t xml:space="preserve"> in leveraging Artificial Intelligence (AI) and Machine Learning (ML) for predictive workforce analytics, talent acquisition optimization, sentiment analysis, and employee lifecycle management.</w:t>
            </w:r>
          </w:p>
          <w:p w14:paraId="60166007" w14:textId="7180C0E9" w:rsidR="00946433" w:rsidRPr="0043428E" w:rsidRDefault="00747FAE" w:rsidP="0043428E">
            <w:pPr>
              <w:pStyle w:val="ListParagraph"/>
              <w:numPr>
                <w:ilvl w:val="0"/>
                <w:numId w:val="48"/>
              </w:numPr>
              <w:ind w:left="257" w:hanging="257"/>
              <w:jc w:val="both"/>
              <w:rPr>
                <w:rFonts w:ascii="Calibri" w:hAnsi="Calibri" w:cs="Calibri"/>
                <w:sz w:val="20"/>
                <w:szCs w:val="20"/>
              </w:rPr>
            </w:pPr>
            <w:r w:rsidRPr="0043428E">
              <w:rPr>
                <w:rFonts w:ascii="Calibri" w:hAnsi="Calibri" w:cs="Calibri"/>
                <w:sz w:val="20"/>
                <w:szCs w:val="20"/>
              </w:rPr>
              <w:t>Experienced in implementing AI-driven tools for performance appraisal systems, succession planning, skills gap analysis, and employee engagement monitoring to drive evidence-based HR decisions.</w:t>
            </w:r>
          </w:p>
        </w:tc>
      </w:tr>
    </w:tbl>
    <w:p w14:paraId="17B198C6" w14:textId="6F7F4E00" w:rsidR="00C33121" w:rsidRPr="0043428E" w:rsidRDefault="00C33121" w:rsidP="00C33121">
      <w:pPr>
        <w:rPr>
          <w:rFonts w:ascii="Calibri" w:hAnsi="Calibri" w:cs="Calibri"/>
          <w:sz w:val="20"/>
          <w:szCs w:val="20"/>
        </w:rPr>
      </w:pPr>
    </w:p>
    <w:p w14:paraId="238CEF79" w14:textId="08BA7F83" w:rsidR="00C33121" w:rsidRPr="0043428E" w:rsidRDefault="00046FBD" w:rsidP="00046FBD">
      <w:pPr>
        <w:jc w:val="center"/>
        <w:rPr>
          <w:rFonts w:ascii="Calibri" w:hAnsi="Calibri" w:cs="Calibri"/>
          <w:sz w:val="20"/>
          <w:szCs w:val="20"/>
        </w:rPr>
      </w:pPr>
      <w:r w:rsidRPr="0043428E">
        <w:rPr>
          <w:rFonts w:ascii="Calibri" w:hAnsi="Calibri" w:cs="Calibri"/>
          <w:sz w:val="20"/>
          <w:szCs w:val="20"/>
        </w:rPr>
        <w:t>**********</w:t>
      </w:r>
    </w:p>
    <w:p w14:paraId="0910995D" w14:textId="77777777" w:rsidR="00A63CA0" w:rsidRPr="0043428E" w:rsidRDefault="00A63CA0">
      <w:pPr>
        <w:rPr>
          <w:rFonts w:ascii="Calibri" w:hAnsi="Calibri" w:cs="Calibri"/>
          <w:sz w:val="20"/>
          <w:szCs w:val="20"/>
        </w:rPr>
      </w:pPr>
    </w:p>
    <w:p w14:paraId="26573E5E" w14:textId="77777777" w:rsidR="00F076A5" w:rsidRPr="0043428E" w:rsidRDefault="00F076A5">
      <w:pPr>
        <w:rPr>
          <w:rFonts w:ascii="Calibri" w:hAnsi="Calibri" w:cs="Calibri"/>
          <w:sz w:val="20"/>
          <w:szCs w:val="20"/>
        </w:rPr>
      </w:pPr>
    </w:p>
    <w:sectPr w:rsidR="00F076A5" w:rsidRPr="0043428E" w:rsidSect="00A71482">
      <w:footerReference w:type="default" r:id="rId8"/>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0BCB" w14:textId="77777777" w:rsidR="007E58D9" w:rsidRDefault="007E58D9" w:rsidP="006F3D0A">
      <w:pPr>
        <w:spacing w:after="0" w:line="240" w:lineRule="auto"/>
      </w:pPr>
      <w:r>
        <w:separator/>
      </w:r>
    </w:p>
  </w:endnote>
  <w:endnote w:type="continuationSeparator" w:id="0">
    <w:p w14:paraId="77E9BDD5" w14:textId="77777777" w:rsidR="007E58D9" w:rsidRDefault="007E58D9" w:rsidP="006F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658451751"/>
      <w:docPartObj>
        <w:docPartGallery w:val="Page Numbers (Bottom of Page)"/>
        <w:docPartUnique/>
      </w:docPartObj>
    </w:sdtPr>
    <w:sdtEndPr/>
    <w:sdtContent>
      <w:sdt>
        <w:sdtPr>
          <w:rPr>
            <w:rFonts w:ascii="Calibri" w:hAnsi="Calibri" w:cs="Calibri"/>
            <w:sz w:val="22"/>
            <w:szCs w:val="22"/>
          </w:rPr>
          <w:id w:val="1728636285"/>
          <w:docPartObj>
            <w:docPartGallery w:val="Page Numbers (Top of Page)"/>
            <w:docPartUnique/>
          </w:docPartObj>
        </w:sdtPr>
        <w:sdtEndPr/>
        <w:sdtContent>
          <w:p w14:paraId="27C13C8E" w14:textId="2AA9C911" w:rsidR="006F3D0A" w:rsidRPr="00321B89" w:rsidRDefault="006F3D0A">
            <w:pPr>
              <w:pStyle w:val="Footer"/>
              <w:jc w:val="center"/>
              <w:rPr>
                <w:rFonts w:ascii="Calibri" w:hAnsi="Calibri" w:cs="Calibri"/>
                <w:sz w:val="22"/>
                <w:szCs w:val="22"/>
              </w:rPr>
            </w:pPr>
            <w:r w:rsidRPr="00321B89">
              <w:rPr>
                <w:rFonts w:ascii="Calibri" w:hAnsi="Calibri" w:cs="Calibri"/>
                <w:sz w:val="22"/>
                <w:szCs w:val="22"/>
              </w:rPr>
              <w:t xml:space="preserve">Page </w:t>
            </w:r>
            <w:r w:rsidRPr="00321B89">
              <w:rPr>
                <w:rFonts w:ascii="Calibri" w:hAnsi="Calibri" w:cs="Calibri"/>
                <w:b/>
                <w:bCs/>
                <w:sz w:val="22"/>
                <w:szCs w:val="22"/>
              </w:rPr>
              <w:fldChar w:fldCharType="begin"/>
            </w:r>
            <w:r w:rsidRPr="00321B89">
              <w:rPr>
                <w:rFonts w:ascii="Calibri" w:hAnsi="Calibri" w:cs="Calibri"/>
                <w:b/>
                <w:bCs/>
                <w:sz w:val="22"/>
                <w:szCs w:val="22"/>
              </w:rPr>
              <w:instrText xml:space="preserve"> PAGE </w:instrText>
            </w:r>
            <w:r w:rsidRPr="00321B89">
              <w:rPr>
                <w:rFonts w:ascii="Calibri" w:hAnsi="Calibri" w:cs="Calibri"/>
                <w:b/>
                <w:bCs/>
                <w:sz w:val="22"/>
                <w:szCs w:val="22"/>
              </w:rPr>
              <w:fldChar w:fldCharType="separate"/>
            </w:r>
            <w:r w:rsidRPr="00321B89">
              <w:rPr>
                <w:rFonts w:ascii="Calibri" w:hAnsi="Calibri" w:cs="Calibri"/>
                <w:b/>
                <w:bCs/>
                <w:noProof/>
                <w:sz w:val="22"/>
                <w:szCs w:val="22"/>
              </w:rPr>
              <w:t>2</w:t>
            </w:r>
            <w:r w:rsidRPr="00321B89">
              <w:rPr>
                <w:rFonts w:ascii="Calibri" w:hAnsi="Calibri" w:cs="Calibri"/>
                <w:b/>
                <w:bCs/>
                <w:sz w:val="22"/>
                <w:szCs w:val="22"/>
              </w:rPr>
              <w:fldChar w:fldCharType="end"/>
            </w:r>
            <w:r w:rsidRPr="00321B89">
              <w:rPr>
                <w:rFonts w:ascii="Calibri" w:hAnsi="Calibri" w:cs="Calibri"/>
                <w:sz w:val="22"/>
                <w:szCs w:val="22"/>
              </w:rPr>
              <w:t xml:space="preserve"> of </w:t>
            </w:r>
            <w:r w:rsidRPr="00321B89">
              <w:rPr>
                <w:rFonts w:ascii="Calibri" w:hAnsi="Calibri" w:cs="Calibri"/>
                <w:b/>
                <w:bCs/>
                <w:sz w:val="22"/>
                <w:szCs w:val="22"/>
              </w:rPr>
              <w:fldChar w:fldCharType="begin"/>
            </w:r>
            <w:r w:rsidRPr="00321B89">
              <w:rPr>
                <w:rFonts w:ascii="Calibri" w:hAnsi="Calibri" w:cs="Calibri"/>
                <w:b/>
                <w:bCs/>
                <w:sz w:val="22"/>
                <w:szCs w:val="22"/>
              </w:rPr>
              <w:instrText xml:space="preserve"> NUMPAGES  </w:instrText>
            </w:r>
            <w:r w:rsidRPr="00321B89">
              <w:rPr>
                <w:rFonts w:ascii="Calibri" w:hAnsi="Calibri" w:cs="Calibri"/>
                <w:b/>
                <w:bCs/>
                <w:sz w:val="22"/>
                <w:szCs w:val="22"/>
              </w:rPr>
              <w:fldChar w:fldCharType="separate"/>
            </w:r>
            <w:r w:rsidRPr="00321B89">
              <w:rPr>
                <w:rFonts w:ascii="Calibri" w:hAnsi="Calibri" w:cs="Calibri"/>
                <w:b/>
                <w:bCs/>
                <w:noProof/>
                <w:sz w:val="22"/>
                <w:szCs w:val="22"/>
              </w:rPr>
              <w:t>2</w:t>
            </w:r>
            <w:r w:rsidRPr="00321B89">
              <w:rPr>
                <w:rFonts w:ascii="Calibri" w:hAnsi="Calibri" w:cs="Calibri"/>
                <w:b/>
                <w:bCs/>
                <w:sz w:val="22"/>
                <w:szCs w:val="22"/>
              </w:rPr>
              <w:fldChar w:fldCharType="end"/>
            </w:r>
          </w:p>
        </w:sdtContent>
      </w:sdt>
    </w:sdtContent>
  </w:sdt>
  <w:p w14:paraId="4AFB1BD8" w14:textId="77777777" w:rsidR="006F3D0A" w:rsidRPr="00321B89" w:rsidRDefault="006F3D0A">
    <w:pPr>
      <w:pStyle w:val="Footer"/>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7F5C" w14:textId="77777777" w:rsidR="007E58D9" w:rsidRDefault="007E58D9" w:rsidP="006F3D0A">
      <w:pPr>
        <w:spacing w:after="0" w:line="240" w:lineRule="auto"/>
      </w:pPr>
      <w:r>
        <w:separator/>
      </w:r>
    </w:p>
  </w:footnote>
  <w:footnote w:type="continuationSeparator" w:id="0">
    <w:p w14:paraId="431939FA" w14:textId="77777777" w:rsidR="007E58D9" w:rsidRDefault="007E58D9" w:rsidP="006F3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1AF"/>
    <w:multiLevelType w:val="hybridMultilevel"/>
    <w:tmpl w:val="FA7C0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4637"/>
    <w:multiLevelType w:val="multilevel"/>
    <w:tmpl w:val="CF82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989"/>
    <w:multiLevelType w:val="hybridMultilevel"/>
    <w:tmpl w:val="9F1EDECE"/>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E05130"/>
    <w:multiLevelType w:val="hybridMultilevel"/>
    <w:tmpl w:val="E5160896"/>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633088E"/>
    <w:multiLevelType w:val="multilevel"/>
    <w:tmpl w:val="9B6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E79CE"/>
    <w:multiLevelType w:val="hybridMultilevel"/>
    <w:tmpl w:val="6D8CF0B8"/>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E77146E"/>
    <w:multiLevelType w:val="hybridMultilevel"/>
    <w:tmpl w:val="CF7A32F4"/>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4873B2D"/>
    <w:multiLevelType w:val="hybridMultilevel"/>
    <w:tmpl w:val="D0D86ECE"/>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7000559"/>
    <w:multiLevelType w:val="hybridMultilevel"/>
    <w:tmpl w:val="BFA22FCE"/>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866722"/>
    <w:multiLevelType w:val="hybridMultilevel"/>
    <w:tmpl w:val="8CB0A9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A8058FA"/>
    <w:multiLevelType w:val="hybridMultilevel"/>
    <w:tmpl w:val="433486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BBA6E8C"/>
    <w:multiLevelType w:val="hybridMultilevel"/>
    <w:tmpl w:val="A2A879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D6D0720"/>
    <w:multiLevelType w:val="hybridMultilevel"/>
    <w:tmpl w:val="2D7C71BA"/>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07043B"/>
    <w:multiLevelType w:val="hybridMultilevel"/>
    <w:tmpl w:val="FDE261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28C06F9"/>
    <w:multiLevelType w:val="hybridMultilevel"/>
    <w:tmpl w:val="2F7288D4"/>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6C62A30"/>
    <w:multiLevelType w:val="hybridMultilevel"/>
    <w:tmpl w:val="5B80A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AA1716"/>
    <w:multiLevelType w:val="hybridMultilevel"/>
    <w:tmpl w:val="BE7C5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9AA1B5E"/>
    <w:multiLevelType w:val="hybridMultilevel"/>
    <w:tmpl w:val="35F44B6E"/>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245B41"/>
    <w:multiLevelType w:val="hybridMultilevel"/>
    <w:tmpl w:val="3C001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AC45FA3"/>
    <w:multiLevelType w:val="multilevel"/>
    <w:tmpl w:val="999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135AC"/>
    <w:multiLevelType w:val="hybridMultilevel"/>
    <w:tmpl w:val="A3D6F9C0"/>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1C47534"/>
    <w:multiLevelType w:val="multilevel"/>
    <w:tmpl w:val="5A06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6710B4"/>
    <w:multiLevelType w:val="hybridMultilevel"/>
    <w:tmpl w:val="FF38CEA0"/>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60768E6"/>
    <w:multiLevelType w:val="hybridMultilevel"/>
    <w:tmpl w:val="37FE5490"/>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363B4419"/>
    <w:multiLevelType w:val="hybridMultilevel"/>
    <w:tmpl w:val="7A56BB8C"/>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68D7B92"/>
    <w:multiLevelType w:val="hybridMultilevel"/>
    <w:tmpl w:val="AD226C52"/>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38A95A0D"/>
    <w:multiLevelType w:val="hybridMultilevel"/>
    <w:tmpl w:val="44968516"/>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8E31CE8"/>
    <w:multiLevelType w:val="hybridMultilevel"/>
    <w:tmpl w:val="6B0E66BE"/>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8FA15F3"/>
    <w:multiLevelType w:val="hybridMultilevel"/>
    <w:tmpl w:val="A0E29938"/>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3AB43A55"/>
    <w:multiLevelType w:val="multilevel"/>
    <w:tmpl w:val="30F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AF31EA"/>
    <w:multiLevelType w:val="hybridMultilevel"/>
    <w:tmpl w:val="132C005E"/>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42A7468B"/>
    <w:multiLevelType w:val="hybridMultilevel"/>
    <w:tmpl w:val="F56E0698"/>
    <w:lvl w:ilvl="0" w:tplc="F184D948">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4AC64431"/>
    <w:multiLevelType w:val="hybridMultilevel"/>
    <w:tmpl w:val="A140933A"/>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FF36DA9"/>
    <w:multiLevelType w:val="hybridMultilevel"/>
    <w:tmpl w:val="609CA590"/>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1294AC7"/>
    <w:multiLevelType w:val="hybridMultilevel"/>
    <w:tmpl w:val="D11EE70E"/>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53617116"/>
    <w:multiLevelType w:val="hybridMultilevel"/>
    <w:tmpl w:val="6E1EF71A"/>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55A33E3"/>
    <w:multiLevelType w:val="hybridMultilevel"/>
    <w:tmpl w:val="90326E16"/>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58BE306C"/>
    <w:multiLevelType w:val="hybridMultilevel"/>
    <w:tmpl w:val="9EDCD9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598C15CF"/>
    <w:multiLevelType w:val="hybridMultilevel"/>
    <w:tmpl w:val="A5120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B150A6D"/>
    <w:multiLevelType w:val="multilevel"/>
    <w:tmpl w:val="70B4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2A4A0E"/>
    <w:multiLevelType w:val="hybridMultilevel"/>
    <w:tmpl w:val="6E2E3CB6"/>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286BFE"/>
    <w:multiLevelType w:val="hybridMultilevel"/>
    <w:tmpl w:val="966C242C"/>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5AF43FA"/>
    <w:multiLevelType w:val="multilevel"/>
    <w:tmpl w:val="209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E819DB"/>
    <w:multiLevelType w:val="hybridMultilevel"/>
    <w:tmpl w:val="2006F880"/>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9412B4B"/>
    <w:multiLevelType w:val="hybridMultilevel"/>
    <w:tmpl w:val="0DE08E80"/>
    <w:lvl w:ilvl="0" w:tplc="F184D948">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71AC2E98"/>
    <w:multiLevelType w:val="multilevel"/>
    <w:tmpl w:val="71D4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812549"/>
    <w:multiLevelType w:val="hybridMultilevel"/>
    <w:tmpl w:val="577E0512"/>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6BC5FCE"/>
    <w:multiLevelType w:val="hybridMultilevel"/>
    <w:tmpl w:val="39C815E0"/>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602295"/>
    <w:multiLevelType w:val="hybridMultilevel"/>
    <w:tmpl w:val="ACC453F0"/>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E5C5B6B"/>
    <w:multiLevelType w:val="hybridMultilevel"/>
    <w:tmpl w:val="B044A108"/>
    <w:lvl w:ilvl="0" w:tplc="F184D94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1450956">
    <w:abstractNumId w:val="4"/>
  </w:num>
  <w:num w:numId="2" w16cid:durableId="289896232">
    <w:abstractNumId w:val="9"/>
  </w:num>
  <w:num w:numId="3" w16cid:durableId="677539960">
    <w:abstractNumId w:val="26"/>
  </w:num>
  <w:num w:numId="4" w16cid:durableId="597786168">
    <w:abstractNumId w:val="23"/>
  </w:num>
  <w:num w:numId="5" w16cid:durableId="1754401164">
    <w:abstractNumId w:val="0"/>
  </w:num>
  <w:num w:numId="6" w16cid:durableId="1529178467">
    <w:abstractNumId w:val="34"/>
  </w:num>
  <w:num w:numId="7" w16cid:durableId="398410370">
    <w:abstractNumId w:val="7"/>
  </w:num>
  <w:num w:numId="8" w16cid:durableId="1408727788">
    <w:abstractNumId w:val="49"/>
  </w:num>
  <w:num w:numId="9" w16cid:durableId="1317371006">
    <w:abstractNumId w:val="36"/>
  </w:num>
  <w:num w:numId="10" w16cid:durableId="1715349545">
    <w:abstractNumId w:val="41"/>
  </w:num>
  <w:num w:numId="11" w16cid:durableId="708649988">
    <w:abstractNumId w:val="28"/>
  </w:num>
  <w:num w:numId="12" w16cid:durableId="1305702205">
    <w:abstractNumId w:val="47"/>
  </w:num>
  <w:num w:numId="13" w16cid:durableId="1616790165">
    <w:abstractNumId w:val="14"/>
  </w:num>
  <w:num w:numId="14" w16cid:durableId="1791975488">
    <w:abstractNumId w:val="30"/>
  </w:num>
  <w:num w:numId="15" w16cid:durableId="1238637530">
    <w:abstractNumId w:val="2"/>
  </w:num>
  <w:num w:numId="16" w16cid:durableId="1337346278">
    <w:abstractNumId w:val="35"/>
  </w:num>
  <w:num w:numId="17" w16cid:durableId="1874881258">
    <w:abstractNumId w:val="6"/>
  </w:num>
  <w:num w:numId="18" w16cid:durableId="877399990">
    <w:abstractNumId w:val="27"/>
  </w:num>
  <w:num w:numId="19" w16cid:durableId="1228372669">
    <w:abstractNumId w:val="33"/>
  </w:num>
  <w:num w:numId="20" w16cid:durableId="1178422634">
    <w:abstractNumId w:val="32"/>
  </w:num>
  <w:num w:numId="21" w16cid:durableId="1342509786">
    <w:abstractNumId w:val="48"/>
  </w:num>
  <w:num w:numId="22" w16cid:durableId="563026321">
    <w:abstractNumId w:val="20"/>
  </w:num>
  <w:num w:numId="23" w16cid:durableId="2053067775">
    <w:abstractNumId w:val="12"/>
  </w:num>
  <w:num w:numId="24" w16cid:durableId="92089548">
    <w:abstractNumId w:val="46"/>
  </w:num>
  <w:num w:numId="25" w16cid:durableId="450899318">
    <w:abstractNumId w:val="5"/>
  </w:num>
  <w:num w:numId="26" w16cid:durableId="1720665056">
    <w:abstractNumId w:val="38"/>
  </w:num>
  <w:num w:numId="27" w16cid:durableId="1267496174">
    <w:abstractNumId w:val="11"/>
  </w:num>
  <w:num w:numId="28" w16cid:durableId="1390417737">
    <w:abstractNumId w:val="25"/>
  </w:num>
  <w:num w:numId="29" w16cid:durableId="762647021">
    <w:abstractNumId w:val="40"/>
  </w:num>
  <w:num w:numId="30" w16cid:durableId="1346788473">
    <w:abstractNumId w:val="17"/>
  </w:num>
  <w:num w:numId="31" w16cid:durableId="1040669300">
    <w:abstractNumId w:val="44"/>
  </w:num>
  <w:num w:numId="32" w16cid:durableId="1097015957">
    <w:abstractNumId w:val="43"/>
  </w:num>
  <w:num w:numId="33" w16cid:durableId="2085253316">
    <w:abstractNumId w:val="8"/>
  </w:num>
  <w:num w:numId="34" w16cid:durableId="1822115808">
    <w:abstractNumId w:val="31"/>
  </w:num>
  <w:num w:numId="35" w16cid:durableId="472646952">
    <w:abstractNumId w:val="3"/>
  </w:num>
  <w:num w:numId="36" w16cid:durableId="1482698739">
    <w:abstractNumId w:val="24"/>
  </w:num>
  <w:num w:numId="37" w16cid:durableId="394670672">
    <w:abstractNumId w:val="22"/>
  </w:num>
  <w:num w:numId="38" w16cid:durableId="1579317638">
    <w:abstractNumId w:val="13"/>
  </w:num>
  <w:num w:numId="39" w16cid:durableId="1486316413">
    <w:abstractNumId w:val="29"/>
  </w:num>
  <w:num w:numId="40" w16cid:durableId="1248153321">
    <w:abstractNumId w:val="39"/>
  </w:num>
  <w:num w:numId="41" w16cid:durableId="950742847">
    <w:abstractNumId w:val="37"/>
  </w:num>
  <w:num w:numId="42" w16cid:durableId="33585384">
    <w:abstractNumId w:val="19"/>
  </w:num>
  <w:num w:numId="43" w16cid:durableId="1464033121">
    <w:abstractNumId w:val="21"/>
  </w:num>
  <w:num w:numId="44" w16cid:durableId="542837462">
    <w:abstractNumId w:val="42"/>
  </w:num>
  <w:num w:numId="45" w16cid:durableId="737901777">
    <w:abstractNumId w:val="45"/>
  </w:num>
  <w:num w:numId="46" w16cid:durableId="279997834">
    <w:abstractNumId w:val="1"/>
  </w:num>
  <w:num w:numId="47" w16cid:durableId="2035569000">
    <w:abstractNumId w:val="10"/>
  </w:num>
  <w:num w:numId="48" w16cid:durableId="1969893446">
    <w:abstractNumId w:val="15"/>
  </w:num>
  <w:num w:numId="49" w16cid:durableId="109252779">
    <w:abstractNumId w:val="18"/>
  </w:num>
  <w:num w:numId="50" w16cid:durableId="210925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21"/>
    <w:rsid w:val="00011D78"/>
    <w:rsid w:val="000130C7"/>
    <w:rsid w:val="00014391"/>
    <w:rsid w:val="00046FBD"/>
    <w:rsid w:val="000472BE"/>
    <w:rsid w:val="000556DF"/>
    <w:rsid w:val="00057454"/>
    <w:rsid w:val="00057EC3"/>
    <w:rsid w:val="00067056"/>
    <w:rsid w:val="00086E85"/>
    <w:rsid w:val="000A600F"/>
    <w:rsid w:val="000C5742"/>
    <w:rsid w:val="000E438A"/>
    <w:rsid w:val="000F3B08"/>
    <w:rsid w:val="001102A7"/>
    <w:rsid w:val="00111AB7"/>
    <w:rsid w:val="00161934"/>
    <w:rsid w:val="001916C8"/>
    <w:rsid w:val="00194D70"/>
    <w:rsid w:val="00196636"/>
    <w:rsid w:val="001A1E8C"/>
    <w:rsid w:val="001D7AA5"/>
    <w:rsid w:val="001E203D"/>
    <w:rsid w:val="001F3BF1"/>
    <w:rsid w:val="00217922"/>
    <w:rsid w:val="0022031E"/>
    <w:rsid w:val="00222E77"/>
    <w:rsid w:val="00224FA6"/>
    <w:rsid w:val="00227774"/>
    <w:rsid w:val="002311BB"/>
    <w:rsid w:val="002558D3"/>
    <w:rsid w:val="002567EA"/>
    <w:rsid w:val="00264F94"/>
    <w:rsid w:val="002713C5"/>
    <w:rsid w:val="002760A2"/>
    <w:rsid w:val="002816B3"/>
    <w:rsid w:val="002824C5"/>
    <w:rsid w:val="00292061"/>
    <w:rsid w:val="002A01C9"/>
    <w:rsid w:val="002A73C1"/>
    <w:rsid w:val="002B1F25"/>
    <w:rsid w:val="002E5F98"/>
    <w:rsid w:val="002F6C80"/>
    <w:rsid w:val="00321B89"/>
    <w:rsid w:val="00343187"/>
    <w:rsid w:val="00360FA4"/>
    <w:rsid w:val="00362C3A"/>
    <w:rsid w:val="0037487A"/>
    <w:rsid w:val="00394F4E"/>
    <w:rsid w:val="003A33DB"/>
    <w:rsid w:val="003A7072"/>
    <w:rsid w:val="003D447D"/>
    <w:rsid w:val="0041451C"/>
    <w:rsid w:val="0043233F"/>
    <w:rsid w:val="0043428E"/>
    <w:rsid w:val="00455996"/>
    <w:rsid w:val="00491E43"/>
    <w:rsid w:val="00493CBF"/>
    <w:rsid w:val="004B6016"/>
    <w:rsid w:val="004C5E24"/>
    <w:rsid w:val="004D04DB"/>
    <w:rsid w:val="004D7FAF"/>
    <w:rsid w:val="004F02F7"/>
    <w:rsid w:val="004F192E"/>
    <w:rsid w:val="00502D18"/>
    <w:rsid w:val="00504FC1"/>
    <w:rsid w:val="00505FC4"/>
    <w:rsid w:val="005256D2"/>
    <w:rsid w:val="00545563"/>
    <w:rsid w:val="00545E6A"/>
    <w:rsid w:val="0056056C"/>
    <w:rsid w:val="0057367D"/>
    <w:rsid w:val="00580D7E"/>
    <w:rsid w:val="00583D12"/>
    <w:rsid w:val="00587D41"/>
    <w:rsid w:val="005B5218"/>
    <w:rsid w:val="005B629E"/>
    <w:rsid w:val="005C00AD"/>
    <w:rsid w:val="005C17E1"/>
    <w:rsid w:val="005D271F"/>
    <w:rsid w:val="005E3BCB"/>
    <w:rsid w:val="00600FC2"/>
    <w:rsid w:val="00606A18"/>
    <w:rsid w:val="0061478D"/>
    <w:rsid w:val="00615439"/>
    <w:rsid w:val="0061581B"/>
    <w:rsid w:val="00624E19"/>
    <w:rsid w:val="006319CA"/>
    <w:rsid w:val="00642C18"/>
    <w:rsid w:val="00654283"/>
    <w:rsid w:val="00655F1C"/>
    <w:rsid w:val="00666FFF"/>
    <w:rsid w:val="00667C95"/>
    <w:rsid w:val="00667D02"/>
    <w:rsid w:val="006901B3"/>
    <w:rsid w:val="006A532D"/>
    <w:rsid w:val="006B0770"/>
    <w:rsid w:val="006D5979"/>
    <w:rsid w:val="006E1A42"/>
    <w:rsid w:val="006E1D1A"/>
    <w:rsid w:val="006F3D0A"/>
    <w:rsid w:val="006F43DF"/>
    <w:rsid w:val="00715886"/>
    <w:rsid w:val="007444E4"/>
    <w:rsid w:val="0074650E"/>
    <w:rsid w:val="00747FAE"/>
    <w:rsid w:val="00754498"/>
    <w:rsid w:val="00770A65"/>
    <w:rsid w:val="00772942"/>
    <w:rsid w:val="00796630"/>
    <w:rsid w:val="007A62B1"/>
    <w:rsid w:val="007A6811"/>
    <w:rsid w:val="007D4DCE"/>
    <w:rsid w:val="007D7215"/>
    <w:rsid w:val="007E1F22"/>
    <w:rsid w:val="007E2FC8"/>
    <w:rsid w:val="007E58D9"/>
    <w:rsid w:val="008161D4"/>
    <w:rsid w:val="00824841"/>
    <w:rsid w:val="00832E9B"/>
    <w:rsid w:val="0083678A"/>
    <w:rsid w:val="008450DC"/>
    <w:rsid w:val="00847CB0"/>
    <w:rsid w:val="00851D3E"/>
    <w:rsid w:val="00855693"/>
    <w:rsid w:val="008650A4"/>
    <w:rsid w:val="00867DFC"/>
    <w:rsid w:val="00880247"/>
    <w:rsid w:val="00895100"/>
    <w:rsid w:val="008A2BAF"/>
    <w:rsid w:val="008A4B95"/>
    <w:rsid w:val="008A7C10"/>
    <w:rsid w:val="008B0F05"/>
    <w:rsid w:val="008C5F1E"/>
    <w:rsid w:val="008D0B17"/>
    <w:rsid w:val="008D157F"/>
    <w:rsid w:val="008D30AF"/>
    <w:rsid w:val="008D315A"/>
    <w:rsid w:val="0090039F"/>
    <w:rsid w:val="00903148"/>
    <w:rsid w:val="00903E56"/>
    <w:rsid w:val="00910AE2"/>
    <w:rsid w:val="00911B23"/>
    <w:rsid w:val="00922213"/>
    <w:rsid w:val="00946433"/>
    <w:rsid w:val="00962BFD"/>
    <w:rsid w:val="00965FBE"/>
    <w:rsid w:val="00973E08"/>
    <w:rsid w:val="00975C4C"/>
    <w:rsid w:val="00985199"/>
    <w:rsid w:val="00992995"/>
    <w:rsid w:val="009C4CE8"/>
    <w:rsid w:val="009D0AE9"/>
    <w:rsid w:val="009D2903"/>
    <w:rsid w:val="009D5F9A"/>
    <w:rsid w:val="00A016A5"/>
    <w:rsid w:val="00A02003"/>
    <w:rsid w:val="00A02B5A"/>
    <w:rsid w:val="00A10C57"/>
    <w:rsid w:val="00A527A0"/>
    <w:rsid w:val="00A537CD"/>
    <w:rsid w:val="00A617DC"/>
    <w:rsid w:val="00A63CA0"/>
    <w:rsid w:val="00A71482"/>
    <w:rsid w:val="00A96741"/>
    <w:rsid w:val="00AA24E5"/>
    <w:rsid w:val="00AC2048"/>
    <w:rsid w:val="00AC6FB0"/>
    <w:rsid w:val="00AD0407"/>
    <w:rsid w:val="00AD528E"/>
    <w:rsid w:val="00AF52DF"/>
    <w:rsid w:val="00B01315"/>
    <w:rsid w:val="00B07117"/>
    <w:rsid w:val="00B071E1"/>
    <w:rsid w:val="00B125D0"/>
    <w:rsid w:val="00B40879"/>
    <w:rsid w:val="00B62735"/>
    <w:rsid w:val="00B85521"/>
    <w:rsid w:val="00B875FE"/>
    <w:rsid w:val="00B90276"/>
    <w:rsid w:val="00BA00D2"/>
    <w:rsid w:val="00BB1908"/>
    <w:rsid w:val="00BB5D5F"/>
    <w:rsid w:val="00BC0D53"/>
    <w:rsid w:val="00BD5DFE"/>
    <w:rsid w:val="00BD6A7A"/>
    <w:rsid w:val="00BD7BB9"/>
    <w:rsid w:val="00BF176A"/>
    <w:rsid w:val="00BF7DBC"/>
    <w:rsid w:val="00C221D0"/>
    <w:rsid w:val="00C33121"/>
    <w:rsid w:val="00C41B8E"/>
    <w:rsid w:val="00C60329"/>
    <w:rsid w:val="00C62DC3"/>
    <w:rsid w:val="00C737D1"/>
    <w:rsid w:val="00CA000E"/>
    <w:rsid w:val="00CA6BE1"/>
    <w:rsid w:val="00CB2507"/>
    <w:rsid w:val="00CB501E"/>
    <w:rsid w:val="00CC7E84"/>
    <w:rsid w:val="00CF6E03"/>
    <w:rsid w:val="00D05066"/>
    <w:rsid w:val="00D07DD7"/>
    <w:rsid w:val="00D12032"/>
    <w:rsid w:val="00D20143"/>
    <w:rsid w:val="00D261CB"/>
    <w:rsid w:val="00D265A5"/>
    <w:rsid w:val="00D26644"/>
    <w:rsid w:val="00D302F2"/>
    <w:rsid w:val="00D31E31"/>
    <w:rsid w:val="00D35795"/>
    <w:rsid w:val="00D62384"/>
    <w:rsid w:val="00D70D6C"/>
    <w:rsid w:val="00D87060"/>
    <w:rsid w:val="00D97941"/>
    <w:rsid w:val="00DA659F"/>
    <w:rsid w:val="00DB5480"/>
    <w:rsid w:val="00DC2951"/>
    <w:rsid w:val="00DD1157"/>
    <w:rsid w:val="00DD69DD"/>
    <w:rsid w:val="00DE6F62"/>
    <w:rsid w:val="00E113A7"/>
    <w:rsid w:val="00E1494C"/>
    <w:rsid w:val="00E377AE"/>
    <w:rsid w:val="00E70BE6"/>
    <w:rsid w:val="00E808C2"/>
    <w:rsid w:val="00E8288B"/>
    <w:rsid w:val="00E82CF4"/>
    <w:rsid w:val="00E837B2"/>
    <w:rsid w:val="00EA5A23"/>
    <w:rsid w:val="00EB6932"/>
    <w:rsid w:val="00EC1F5A"/>
    <w:rsid w:val="00EE085B"/>
    <w:rsid w:val="00EE2E11"/>
    <w:rsid w:val="00EE708F"/>
    <w:rsid w:val="00EF38CD"/>
    <w:rsid w:val="00F076A5"/>
    <w:rsid w:val="00F12E5B"/>
    <w:rsid w:val="00F2293B"/>
    <w:rsid w:val="00F22DBE"/>
    <w:rsid w:val="00F35AF3"/>
    <w:rsid w:val="00F5129E"/>
    <w:rsid w:val="00F73B95"/>
    <w:rsid w:val="00F8647A"/>
    <w:rsid w:val="00F902A4"/>
    <w:rsid w:val="00FA69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2E31"/>
  <w15:chartTrackingRefBased/>
  <w15:docId w15:val="{0F84B058-40FA-4860-96D0-DD5CFAEB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121"/>
    <w:rPr>
      <w:rFonts w:eastAsiaTheme="majorEastAsia" w:cstheme="majorBidi"/>
      <w:color w:val="272727" w:themeColor="text1" w:themeTint="D8"/>
    </w:rPr>
  </w:style>
  <w:style w:type="paragraph" w:styleId="Title">
    <w:name w:val="Title"/>
    <w:basedOn w:val="Normal"/>
    <w:next w:val="Normal"/>
    <w:link w:val="TitleChar"/>
    <w:uiPriority w:val="10"/>
    <w:qFormat/>
    <w:rsid w:val="00C33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121"/>
    <w:pPr>
      <w:spacing w:before="160"/>
      <w:jc w:val="center"/>
    </w:pPr>
    <w:rPr>
      <w:i/>
      <w:iCs/>
      <w:color w:val="404040" w:themeColor="text1" w:themeTint="BF"/>
    </w:rPr>
  </w:style>
  <w:style w:type="character" w:customStyle="1" w:styleId="QuoteChar">
    <w:name w:val="Quote Char"/>
    <w:basedOn w:val="DefaultParagraphFont"/>
    <w:link w:val="Quote"/>
    <w:uiPriority w:val="29"/>
    <w:rsid w:val="00C33121"/>
    <w:rPr>
      <w:i/>
      <w:iCs/>
      <w:color w:val="404040" w:themeColor="text1" w:themeTint="BF"/>
    </w:rPr>
  </w:style>
  <w:style w:type="paragraph" w:styleId="ListParagraph">
    <w:name w:val="List Paragraph"/>
    <w:basedOn w:val="Normal"/>
    <w:uiPriority w:val="34"/>
    <w:qFormat/>
    <w:rsid w:val="00C33121"/>
    <w:pPr>
      <w:ind w:left="720"/>
      <w:contextualSpacing/>
    </w:pPr>
  </w:style>
  <w:style w:type="character" w:styleId="IntenseEmphasis">
    <w:name w:val="Intense Emphasis"/>
    <w:basedOn w:val="DefaultParagraphFont"/>
    <w:uiPriority w:val="21"/>
    <w:qFormat/>
    <w:rsid w:val="00C33121"/>
    <w:rPr>
      <w:i/>
      <w:iCs/>
      <w:color w:val="0F4761" w:themeColor="accent1" w:themeShade="BF"/>
    </w:rPr>
  </w:style>
  <w:style w:type="paragraph" w:styleId="IntenseQuote">
    <w:name w:val="Intense Quote"/>
    <w:basedOn w:val="Normal"/>
    <w:next w:val="Normal"/>
    <w:link w:val="IntenseQuoteChar"/>
    <w:uiPriority w:val="30"/>
    <w:qFormat/>
    <w:rsid w:val="00C33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121"/>
    <w:rPr>
      <w:i/>
      <w:iCs/>
      <w:color w:val="0F4761" w:themeColor="accent1" w:themeShade="BF"/>
    </w:rPr>
  </w:style>
  <w:style w:type="character" w:styleId="IntenseReference">
    <w:name w:val="Intense Reference"/>
    <w:basedOn w:val="DefaultParagraphFont"/>
    <w:uiPriority w:val="32"/>
    <w:qFormat/>
    <w:rsid w:val="00C33121"/>
    <w:rPr>
      <w:b/>
      <w:bCs/>
      <w:smallCaps/>
      <w:color w:val="0F4761" w:themeColor="accent1" w:themeShade="BF"/>
      <w:spacing w:val="5"/>
    </w:rPr>
  </w:style>
  <w:style w:type="table" w:styleId="TableGrid">
    <w:name w:val="Table Grid"/>
    <w:basedOn w:val="TableNormal"/>
    <w:uiPriority w:val="39"/>
    <w:rsid w:val="00C3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7454"/>
    <w:rPr>
      <w:b/>
      <w:bCs/>
    </w:rPr>
  </w:style>
  <w:style w:type="paragraph" w:styleId="Header">
    <w:name w:val="header"/>
    <w:basedOn w:val="Normal"/>
    <w:link w:val="HeaderChar"/>
    <w:uiPriority w:val="99"/>
    <w:unhideWhenUsed/>
    <w:rsid w:val="006F3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D0A"/>
  </w:style>
  <w:style w:type="paragraph" w:styleId="Footer">
    <w:name w:val="footer"/>
    <w:basedOn w:val="Normal"/>
    <w:link w:val="FooterChar"/>
    <w:uiPriority w:val="99"/>
    <w:unhideWhenUsed/>
    <w:rsid w:val="006F3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D0A"/>
  </w:style>
  <w:style w:type="table" w:styleId="GridTable1Light">
    <w:name w:val="Grid Table 1 Light"/>
    <w:basedOn w:val="TableNormal"/>
    <w:uiPriority w:val="46"/>
    <w:rsid w:val="00046F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6FBD"/>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455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063">
      <w:bodyDiv w:val="1"/>
      <w:marLeft w:val="0"/>
      <w:marRight w:val="0"/>
      <w:marTop w:val="0"/>
      <w:marBottom w:val="0"/>
      <w:divBdr>
        <w:top w:val="none" w:sz="0" w:space="0" w:color="auto"/>
        <w:left w:val="none" w:sz="0" w:space="0" w:color="auto"/>
        <w:bottom w:val="none" w:sz="0" w:space="0" w:color="auto"/>
        <w:right w:val="none" w:sz="0" w:space="0" w:color="auto"/>
      </w:divBdr>
    </w:div>
    <w:div w:id="219244031">
      <w:bodyDiv w:val="1"/>
      <w:marLeft w:val="0"/>
      <w:marRight w:val="0"/>
      <w:marTop w:val="0"/>
      <w:marBottom w:val="0"/>
      <w:divBdr>
        <w:top w:val="none" w:sz="0" w:space="0" w:color="auto"/>
        <w:left w:val="none" w:sz="0" w:space="0" w:color="auto"/>
        <w:bottom w:val="none" w:sz="0" w:space="0" w:color="auto"/>
        <w:right w:val="none" w:sz="0" w:space="0" w:color="auto"/>
      </w:divBdr>
    </w:div>
    <w:div w:id="445739707">
      <w:bodyDiv w:val="1"/>
      <w:marLeft w:val="0"/>
      <w:marRight w:val="0"/>
      <w:marTop w:val="0"/>
      <w:marBottom w:val="0"/>
      <w:divBdr>
        <w:top w:val="none" w:sz="0" w:space="0" w:color="auto"/>
        <w:left w:val="none" w:sz="0" w:space="0" w:color="auto"/>
        <w:bottom w:val="none" w:sz="0" w:space="0" w:color="auto"/>
        <w:right w:val="none" w:sz="0" w:space="0" w:color="auto"/>
      </w:divBdr>
    </w:div>
    <w:div w:id="496847713">
      <w:bodyDiv w:val="1"/>
      <w:marLeft w:val="0"/>
      <w:marRight w:val="0"/>
      <w:marTop w:val="0"/>
      <w:marBottom w:val="0"/>
      <w:divBdr>
        <w:top w:val="none" w:sz="0" w:space="0" w:color="auto"/>
        <w:left w:val="none" w:sz="0" w:space="0" w:color="auto"/>
        <w:bottom w:val="none" w:sz="0" w:space="0" w:color="auto"/>
        <w:right w:val="none" w:sz="0" w:space="0" w:color="auto"/>
      </w:divBdr>
    </w:div>
    <w:div w:id="522591561">
      <w:bodyDiv w:val="1"/>
      <w:marLeft w:val="0"/>
      <w:marRight w:val="0"/>
      <w:marTop w:val="0"/>
      <w:marBottom w:val="0"/>
      <w:divBdr>
        <w:top w:val="none" w:sz="0" w:space="0" w:color="auto"/>
        <w:left w:val="none" w:sz="0" w:space="0" w:color="auto"/>
        <w:bottom w:val="none" w:sz="0" w:space="0" w:color="auto"/>
        <w:right w:val="none" w:sz="0" w:space="0" w:color="auto"/>
      </w:divBdr>
      <w:divsChild>
        <w:div w:id="554045311">
          <w:marLeft w:val="0"/>
          <w:marRight w:val="0"/>
          <w:marTop w:val="0"/>
          <w:marBottom w:val="0"/>
          <w:divBdr>
            <w:top w:val="none" w:sz="0" w:space="0" w:color="auto"/>
            <w:left w:val="none" w:sz="0" w:space="0" w:color="auto"/>
            <w:bottom w:val="none" w:sz="0" w:space="0" w:color="auto"/>
            <w:right w:val="none" w:sz="0" w:space="0" w:color="auto"/>
          </w:divBdr>
        </w:div>
        <w:div w:id="1085029684">
          <w:marLeft w:val="0"/>
          <w:marRight w:val="0"/>
          <w:marTop w:val="0"/>
          <w:marBottom w:val="0"/>
          <w:divBdr>
            <w:top w:val="none" w:sz="0" w:space="0" w:color="auto"/>
            <w:left w:val="none" w:sz="0" w:space="0" w:color="auto"/>
            <w:bottom w:val="none" w:sz="0" w:space="0" w:color="auto"/>
            <w:right w:val="none" w:sz="0" w:space="0" w:color="auto"/>
          </w:divBdr>
        </w:div>
        <w:div w:id="969171029">
          <w:marLeft w:val="0"/>
          <w:marRight w:val="0"/>
          <w:marTop w:val="0"/>
          <w:marBottom w:val="0"/>
          <w:divBdr>
            <w:top w:val="none" w:sz="0" w:space="0" w:color="auto"/>
            <w:left w:val="none" w:sz="0" w:space="0" w:color="auto"/>
            <w:bottom w:val="none" w:sz="0" w:space="0" w:color="auto"/>
            <w:right w:val="none" w:sz="0" w:space="0" w:color="auto"/>
          </w:divBdr>
        </w:div>
        <w:div w:id="1034427788">
          <w:marLeft w:val="0"/>
          <w:marRight w:val="0"/>
          <w:marTop w:val="0"/>
          <w:marBottom w:val="0"/>
          <w:divBdr>
            <w:top w:val="none" w:sz="0" w:space="0" w:color="auto"/>
            <w:left w:val="none" w:sz="0" w:space="0" w:color="auto"/>
            <w:bottom w:val="none" w:sz="0" w:space="0" w:color="auto"/>
            <w:right w:val="none" w:sz="0" w:space="0" w:color="auto"/>
          </w:divBdr>
        </w:div>
        <w:div w:id="1483234909">
          <w:marLeft w:val="0"/>
          <w:marRight w:val="0"/>
          <w:marTop w:val="0"/>
          <w:marBottom w:val="0"/>
          <w:divBdr>
            <w:top w:val="none" w:sz="0" w:space="0" w:color="auto"/>
            <w:left w:val="none" w:sz="0" w:space="0" w:color="auto"/>
            <w:bottom w:val="none" w:sz="0" w:space="0" w:color="auto"/>
            <w:right w:val="none" w:sz="0" w:space="0" w:color="auto"/>
          </w:divBdr>
        </w:div>
      </w:divsChild>
    </w:div>
    <w:div w:id="696395487">
      <w:bodyDiv w:val="1"/>
      <w:marLeft w:val="0"/>
      <w:marRight w:val="0"/>
      <w:marTop w:val="0"/>
      <w:marBottom w:val="0"/>
      <w:divBdr>
        <w:top w:val="none" w:sz="0" w:space="0" w:color="auto"/>
        <w:left w:val="none" w:sz="0" w:space="0" w:color="auto"/>
        <w:bottom w:val="none" w:sz="0" w:space="0" w:color="auto"/>
        <w:right w:val="none" w:sz="0" w:space="0" w:color="auto"/>
      </w:divBdr>
      <w:divsChild>
        <w:div w:id="163519923">
          <w:marLeft w:val="0"/>
          <w:marRight w:val="0"/>
          <w:marTop w:val="0"/>
          <w:marBottom w:val="0"/>
          <w:divBdr>
            <w:top w:val="none" w:sz="0" w:space="0" w:color="auto"/>
            <w:left w:val="none" w:sz="0" w:space="0" w:color="auto"/>
            <w:bottom w:val="none" w:sz="0" w:space="0" w:color="auto"/>
            <w:right w:val="none" w:sz="0" w:space="0" w:color="auto"/>
          </w:divBdr>
        </w:div>
        <w:div w:id="163976181">
          <w:marLeft w:val="0"/>
          <w:marRight w:val="0"/>
          <w:marTop w:val="0"/>
          <w:marBottom w:val="0"/>
          <w:divBdr>
            <w:top w:val="none" w:sz="0" w:space="0" w:color="auto"/>
            <w:left w:val="none" w:sz="0" w:space="0" w:color="auto"/>
            <w:bottom w:val="none" w:sz="0" w:space="0" w:color="auto"/>
            <w:right w:val="none" w:sz="0" w:space="0" w:color="auto"/>
          </w:divBdr>
        </w:div>
        <w:div w:id="1872113377">
          <w:marLeft w:val="0"/>
          <w:marRight w:val="0"/>
          <w:marTop w:val="0"/>
          <w:marBottom w:val="0"/>
          <w:divBdr>
            <w:top w:val="none" w:sz="0" w:space="0" w:color="auto"/>
            <w:left w:val="none" w:sz="0" w:space="0" w:color="auto"/>
            <w:bottom w:val="none" w:sz="0" w:space="0" w:color="auto"/>
            <w:right w:val="none" w:sz="0" w:space="0" w:color="auto"/>
          </w:divBdr>
        </w:div>
        <w:div w:id="1421875133">
          <w:marLeft w:val="0"/>
          <w:marRight w:val="0"/>
          <w:marTop w:val="0"/>
          <w:marBottom w:val="0"/>
          <w:divBdr>
            <w:top w:val="none" w:sz="0" w:space="0" w:color="auto"/>
            <w:left w:val="none" w:sz="0" w:space="0" w:color="auto"/>
            <w:bottom w:val="none" w:sz="0" w:space="0" w:color="auto"/>
            <w:right w:val="none" w:sz="0" w:space="0" w:color="auto"/>
          </w:divBdr>
        </w:div>
        <w:div w:id="1024869364">
          <w:marLeft w:val="0"/>
          <w:marRight w:val="0"/>
          <w:marTop w:val="0"/>
          <w:marBottom w:val="0"/>
          <w:divBdr>
            <w:top w:val="none" w:sz="0" w:space="0" w:color="auto"/>
            <w:left w:val="none" w:sz="0" w:space="0" w:color="auto"/>
            <w:bottom w:val="none" w:sz="0" w:space="0" w:color="auto"/>
            <w:right w:val="none" w:sz="0" w:space="0" w:color="auto"/>
          </w:divBdr>
        </w:div>
      </w:divsChild>
    </w:div>
    <w:div w:id="760184262">
      <w:bodyDiv w:val="1"/>
      <w:marLeft w:val="0"/>
      <w:marRight w:val="0"/>
      <w:marTop w:val="0"/>
      <w:marBottom w:val="0"/>
      <w:divBdr>
        <w:top w:val="none" w:sz="0" w:space="0" w:color="auto"/>
        <w:left w:val="none" w:sz="0" w:space="0" w:color="auto"/>
        <w:bottom w:val="none" w:sz="0" w:space="0" w:color="auto"/>
        <w:right w:val="none" w:sz="0" w:space="0" w:color="auto"/>
      </w:divBdr>
    </w:div>
    <w:div w:id="1084687497">
      <w:bodyDiv w:val="1"/>
      <w:marLeft w:val="0"/>
      <w:marRight w:val="0"/>
      <w:marTop w:val="0"/>
      <w:marBottom w:val="0"/>
      <w:divBdr>
        <w:top w:val="none" w:sz="0" w:space="0" w:color="auto"/>
        <w:left w:val="none" w:sz="0" w:space="0" w:color="auto"/>
        <w:bottom w:val="none" w:sz="0" w:space="0" w:color="auto"/>
        <w:right w:val="none" w:sz="0" w:space="0" w:color="auto"/>
      </w:divBdr>
    </w:div>
    <w:div w:id="1211501269">
      <w:bodyDiv w:val="1"/>
      <w:marLeft w:val="0"/>
      <w:marRight w:val="0"/>
      <w:marTop w:val="0"/>
      <w:marBottom w:val="0"/>
      <w:divBdr>
        <w:top w:val="none" w:sz="0" w:space="0" w:color="auto"/>
        <w:left w:val="none" w:sz="0" w:space="0" w:color="auto"/>
        <w:bottom w:val="none" w:sz="0" w:space="0" w:color="auto"/>
        <w:right w:val="none" w:sz="0" w:space="0" w:color="auto"/>
      </w:divBdr>
    </w:div>
    <w:div w:id="1378311195">
      <w:bodyDiv w:val="1"/>
      <w:marLeft w:val="0"/>
      <w:marRight w:val="0"/>
      <w:marTop w:val="0"/>
      <w:marBottom w:val="0"/>
      <w:divBdr>
        <w:top w:val="none" w:sz="0" w:space="0" w:color="auto"/>
        <w:left w:val="none" w:sz="0" w:space="0" w:color="auto"/>
        <w:bottom w:val="none" w:sz="0" w:space="0" w:color="auto"/>
        <w:right w:val="none" w:sz="0" w:space="0" w:color="auto"/>
      </w:divBdr>
    </w:div>
    <w:div w:id="1429043455">
      <w:bodyDiv w:val="1"/>
      <w:marLeft w:val="0"/>
      <w:marRight w:val="0"/>
      <w:marTop w:val="0"/>
      <w:marBottom w:val="0"/>
      <w:divBdr>
        <w:top w:val="none" w:sz="0" w:space="0" w:color="auto"/>
        <w:left w:val="none" w:sz="0" w:space="0" w:color="auto"/>
        <w:bottom w:val="none" w:sz="0" w:space="0" w:color="auto"/>
        <w:right w:val="none" w:sz="0" w:space="0" w:color="auto"/>
      </w:divBdr>
    </w:div>
    <w:div w:id="1474566731">
      <w:bodyDiv w:val="1"/>
      <w:marLeft w:val="0"/>
      <w:marRight w:val="0"/>
      <w:marTop w:val="0"/>
      <w:marBottom w:val="0"/>
      <w:divBdr>
        <w:top w:val="none" w:sz="0" w:space="0" w:color="auto"/>
        <w:left w:val="none" w:sz="0" w:space="0" w:color="auto"/>
        <w:bottom w:val="none" w:sz="0" w:space="0" w:color="auto"/>
        <w:right w:val="none" w:sz="0" w:space="0" w:color="auto"/>
      </w:divBdr>
    </w:div>
    <w:div w:id="1573656005">
      <w:bodyDiv w:val="1"/>
      <w:marLeft w:val="0"/>
      <w:marRight w:val="0"/>
      <w:marTop w:val="0"/>
      <w:marBottom w:val="0"/>
      <w:divBdr>
        <w:top w:val="none" w:sz="0" w:space="0" w:color="auto"/>
        <w:left w:val="none" w:sz="0" w:space="0" w:color="auto"/>
        <w:bottom w:val="none" w:sz="0" w:space="0" w:color="auto"/>
        <w:right w:val="none" w:sz="0" w:space="0" w:color="auto"/>
      </w:divBdr>
    </w:div>
    <w:div w:id="1803888628">
      <w:bodyDiv w:val="1"/>
      <w:marLeft w:val="0"/>
      <w:marRight w:val="0"/>
      <w:marTop w:val="0"/>
      <w:marBottom w:val="0"/>
      <w:divBdr>
        <w:top w:val="none" w:sz="0" w:space="0" w:color="auto"/>
        <w:left w:val="none" w:sz="0" w:space="0" w:color="auto"/>
        <w:bottom w:val="none" w:sz="0" w:space="0" w:color="auto"/>
        <w:right w:val="none" w:sz="0" w:space="0" w:color="auto"/>
      </w:divBdr>
    </w:div>
    <w:div w:id="1830708414">
      <w:bodyDiv w:val="1"/>
      <w:marLeft w:val="0"/>
      <w:marRight w:val="0"/>
      <w:marTop w:val="0"/>
      <w:marBottom w:val="0"/>
      <w:divBdr>
        <w:top w:val="none" w:sz="0" w:space="0" w:color="auto"/>
        <w:left w:val="none" w:sz="0" w:space="0" w:color="auto"/>
        <w:bottom w:val="none" w:sz="0" w:space="0" w:color="auto"/>
        <w:right w:val="none" w:sz="0" w:space="0" w:color="auto"/>
      </w:divBdr>
    </w:div>
    <w:div w:id="1906908769">
      <w:bodyDiv w:val="1"/>
      <w:marLeft w:val="0"/>
      <w:marRight w:val="0"/>
      <w:marTop w:val="0"/>
      <w:marBottom w:val="0"/>
      <w:divBdr>
        <w:top w:val="none" w:sz="0" w:space="0" w:color="auto"/>
        <w:left w:val="none" w:sz="0" w:space="0" w:color="auto"/>
        <w:bottom w:val="none" w:sz="0" w:space="0" w:color="auto"/>
        <w:right w:val="none" w:sz="0" w:space="0" w:color="auto"/>
      </w:divBdr>
    </w:div>
    <w:div w:id="21089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Jelani Mohammed</dc:creator>
  <cp:keywords/>
  <dc:description/>
  <cp:lastModifiedBy>Jelani Mohammed</cp:lastModifiedBy>
  <cp:revision>2</cp:revision>
  <cp:lastPrinted>2025-06-03T05:08:00Z</cp:lastPrinted>
  <dcterms:created xsi:type="dcterms:W3CDTF">2025-06-05T06:14:00Z</dcterms:created>
  <dcterms:modified xsi:type="dcterms:W3CDTF">2025-06-05T06:14:00Z</dcterms:modified>
</cp:coreProperties>
</file>